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9082247"/>
        <w:docPartObj>
          <w:docPartGallery w:val="Cover Pages"/>
          <w:docPartUnique/>
        </w:docPartObj>
      </w:sdtPr>
      <w:sdtEndPr/>
      <w:sdtContent>
        <w:p w14:paraId="5C33A68F" w14:textId="77777777" w:rsidR="00103269" w:rsidRDefault="00103269" w:rsidP="00A15269"/>
        <w:p w14:paraId="5C33A690" w14:textId="77777777" w:rsidR="00473482" w:rsidRDefault="00473482" w:rsidP="00A15269"/>
        <w:p w14:paraId="5C33A691" w14:textId="77777777" w:rsidR="00473482" w:rsidRDefault="00473482" w:rsidP="00A15269"/>
        <w:tbl>
          <w:tblPr>
            <w:tblStyle w:val="Forsidestil"/>
            <w:tblpPr w:leftFromText="142" w:rightFromText="142" w:vertAnchor="page" w:horzAnchor="margin" w:tblpY="3768"/>
            <w:tblW w:w="9923" w:type="dxa"/>
            <w:tblLayout w:type="fixed"/>
            <w:tblLook w:val="04A0" w:firstRow="1" w:lastRow="0" w:firstColumn="1" w:lastColumn="0" w:noHBand="0" w:noVBand="1"/>
          </w:tblPr>
          <w:tblGrid>
            <w:gridCol w:w="9923"/>
          </w:tblGrid>
          <w:tr w:rsidR="00473482" w:rsidRPr="006943C6" w14:paraId="5C33A693" w14:textId="77777777" w:rsidTr="00B334AD">
            <w:trPr>
              <w:cnfStyle w:val="100000000000" w:firstRow="1" w:lastRow="0" w:firstColumn="0" w:lastColumn="0" w:oddVBand="0" w:evenVBand="0" w:oddHBand="0" w:evenHBand="0" w:firstRowFirstColumn="0" w:firstRowLastColumn="0" w:lastRowFirstColumn="0" w:lastRowLastColumn="0"/>
              <w:trHeight w:hRule="exact" w:val="1474"/>
            </w:trPr>
            <w:tc>
              <w:tcPr>
                <w:tcW w:w="9923" w:type="dxa"/>
                <w:shd w:val="clear" w:color="auto" w:fill="auto"/>
                <w:vAlign w:val="top"/>
              </w:tcPr>
              <w:sdt>
                <w:sdtPr>
                  <w:rPr>
                    <w:rFonts w:ascii="Calibri" w:hAnsi="Calibri" w:cs="Calibri"/>
                    <w:color w:val="auto"/>
                    <w:sz w:val="56"/>
                    <w:lang w:val="fr-FR"/>
                  </w:rPr>
                  <w:alias w:val="Heading"/>
                  <w:tag w:val="Heading"/>
                  <w:id w:val="-2081275978"/>
                  <w:placeholder>
                    <w:docPart w:val="C3F0AC3DF1F0435E8DCB57805ADAEF97"/>
                  </w:placeholder>
                  <w:text w:multiLine="1"/>
                </w:sdtPr>
                <w:sdtEndPr/>
                <w:sdtContent>
                  <w:p w14:paraId="5C33A692" w14:textId="23D8AAED" w:rsidR="00473482" w:rsidRPr="00B334AD" w:rsidRDefault="00EA03DB" w:rsidP="00EA03DB">
                    <w:pPr>
                      <w:pStyle w:val="Title"/>
                      <w:spacing w:before="0" w:after="0"/>
                      <w:ind w:left="0" w:right="0"/>
                      <w:rPr>
                        <w:color w:val="464645" w:themeColor="text1"/>
                        <w:sz w:val="56"/>
                        <w:lang w:val="fr-FR"/>
                      </w:rPr>
                    </w:pPr>
                    <w:r w:rsidRPr="00EA03DB" w:rsidDel="00610AD9">
                      <w:rPr>
                        <w:rFonts w:ascii="Calibri" w:hAnsi="Calibri" w:cs="Calibri"/>
                        <w:color w:val="auto"/>
                        <w:sz w:val="56"/>
                        <w:lang w:val="fr-FR"/>
                      </w:rPr>
                      <w:t xml:space="preserve">Termes de Référence </w:t>
                    </w:r>
                    <w:r w:rsidRPr="00EA03DB">
                      <w:rPr>
                        <w:rFonts w:ascii="Calibri" w:hAnsi="Calibri" w:cs="Calibri"/>
                        <w:color w:val="auto"/>
                        <w:sz w:val="56"/>
                        <w:lang w:val="fr-FR"/>
                      </w:rPr>
                      <w:t>de l’</w:t>
                    </w:r>
                    <w:r w:rsidRPr="00EA03DB" w:rsidDel="00610AD9">
                      <w:rPr>
                        <w:rFonts w:ascii="Calibri" w:hAnsi="Calibri" w:cs="Calibri"/>
                        <w:color w:val="auto"/>
                        <w:sz w:val="56"/>
                        <w:lang w:val="fr-FR"/>
                      </w:rPr>
                      <w:t>Evaluation Externe des programmes de NRC au Mali</w:t>
                    </w:r>
                  </w:p>
                </w:sdtContent>
              </w:sdt>
            </w:tc>
          </w:tr>
        </w:tbl>
        <w:p w14:paraId="5C33A694" w14:textId="77777777" w:rsidR="00473482" w:rsidRPr="00B47A62" w:rsidRDefault="00103269" w:rsidP="00473482">
          <w:pPr>
            <w:pStyle w:val="Heading1"/>
            <w:numPr>
              <w:ilvl w:val="0"/>
              <w:numId w:val="0"/>
            </w:numPr>
            <w:rPr>
              <w:rFonts w:ascii="Calibri" w:hAnsi="Calibri" w:cs="Calibri"/>
              <w:b/>
              <w:u w:val="single"/>
              <w:lang w:val="fr-FR"/>
            </w:rPr>
          </w:pPr>
          <w:r>
            <w:rPr>
              <w:noProof/>
              <w:color w:val="2B579A"/>
              <w:shd w:val="clear" w:color="auto" w:fill="E6E6E6"/>
              <w:lang w:val="fr-FR" w:eastAsia="fr-FR"/>
            </w:rPr>
            <w:drawing>
              <wp:anchor distT="0" distB="0" distL="114300" distR="114300" simplePos="0" relativeHeight="251679744" behindDoc="0" locked="0" layoutInCell="1" allowOverlap="1" wp14:anchorId="5C33A73B" wp14:editId="5C33A73C">
                <wp:simplePos x="0" y="0"/>
                <wp:positionH relativeFrom="margin">
                  <wp:posOffset>-3175</wp:posOffset>
                </wp:positionH>
                <wp:positionV relativeFrom="margin">
                  <wp:posOffset>-3175</wp:posOffset>
                </wp:positionV>
                <wp:extent cx="2498090" cy="626110"/>
                <wp:effectExtent l="0" t="0" r="0" b="254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Logo_NRC.png"/>
                        <pic:cNvPicPr/>
                      </pic:nvPicPr>
                      <pic:blipFill>
                        <a:blip r:embed="rId12">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p w14:paraId="5C33A695" w14:textId="134F48AB" w:rsidR="00473482" w:rsidRPr="000A069E" w:rsidRDefault="00473482" w:rsidP="00473482">
          <w:pPr>
            <w:pStyle w:val="FrontpagetextNRC"/>
            <w:framePr w:wrap="around" w:hAnchor="page" w:x="1935" w:y="6833"/>
            <w:rPr>
              <w:color w:val="auto"/>
              <w:lang w:val="fr-FR"/>
            </w:rPr>
          </w:pPr>
          <w:r w:rsidRPr="0A38F48B">
            <w:rPr>
              <w:color w:val="auto"/>
              <w:lang w:val="fr-FR"/>
            </w:rPr>
            <w:t xml:space="preserve">Dates: </w:t>
          </w:r>
          <w:r w:rsidR="004A76E3" w:rsidRPr="0A38F48B">
            <w:rPr>
              <w:color w:val="auto"/>
              <w:lang w:val="fr-FR"/>
            </w:rPr>
            <w:t>J</w:t>
          </w:r>
          <w:r w:rsidR="002E490C">
            <w:rPr>
              <w:color w:val="auto"/>
              <w:lang w:val="fr-FR"/>
            </w:rPr>
            <w:t xml:space="preserve">UILLET </w:t>
          </w:r>
          <w:r w:rsidR="004A76E3" w:rsidRPr="0A38F48B">
            <w:rPr>
              <w:color w:val="auto"/>
              <w:lang w:val="fr-FR"/>
            </w:rPr>
            <w:t>-</w:t>
          </w:r>
          <w:r w:rsidR="002E490C">
            <w:rPr>
              <w:color w:val="auto"/>
              <w:lang w:val="fr-FR"/>
            </w:rPr>
            <w:t xml:space="preserve"> </w:t>
          </w:r>
          <w:r w:rsidR="00BC546B">
            <w:rPr>
              <w:color w:val="auto"/>
              <w:lang w:val="fr-FR"/>
            </w:rPr>
            <w:t>SEPTE</w:t>
          </w:r>
          <w:bookmarkStart w:id="0" w:name="_GoBack"/>
          <w:bookmarkEnd w:id="0"/>
          <w:r w:rsidR="00BC546B">
            <w:rPr>
              <w:color w:val="auto"/>
              <w:lang w:val="fr-FR"/>
            </w:rPr>
            <w:t>MBRE</w:t>
          </w:r>
          <w:r w:rsidR="004A76E3" w:rsidRPr="0A38F48B">
            <w:rPr>
              <w:color w:val="auto"/>
              <w:lang w:val="fr-FR"/>
            </w:rPr>
            <w:t xml:space="preserve"> 2022</w:t>
          </w:r>
        </w:p>
        <w:p w14:paraId="5C33A696" w14:textId="6E8D6C95" w:rsidR="00473482" w:rsidRPr="004A76E3" w:rsidRDefault="00473482" w:rsidP="00473482">
          <w:pPr>
            <w:pStyle w:val="FrontpagetextNRC"/>
            <w:framePr w:wrap="around" w:hAnchor="page" w:x="1935" w:y="6833"/>
            <w:rPr>
              <w:color w:val="auto"/>
              <w:lang w:val="fr-FR"/>
            </w:rPr>
          </w:pPr>
          <w:r w:rsidRPr="004A76E3">
            <w:rPr>
              <w:color w:val="auto"/>
              <w:lang w:val="fr-FR"/>
            </w:rPr>
            <w:t>Evaluation</w:t>
          </w:r>
          <w:r w:rsidR="004A76E3" w:rsidRPr="004A76E3">
            <w:rPr>
              <w:color w:val="auto"/>
              <w:lang w:val="fr-FR"/>
            </w:rPr>
            <w:t xml:space="preserve"> </w:t>
          </w:r>
          <w:r w:rsidRPr="004A76E3">
            <w:rPr>
              <w:color w:val="auto"/>
              <w:lang w:val="fr-FR"/>
            </w:rPr>
            <w:t xml:space="preserve">manager: </w:t>
          </w:r>
          <w:r w:rsidR="004A76E3" w:rsidRPr="004A76E3">
            <w:rPr>
              <w:color w:val="auto"/>
              <w:lang w:val="fr-FR"/>
            </w:rPr>
            <w:t>MANAGER SERA DE NRC Mali</w:t>
          </w:r>
        </w:p>
        <w:p w14:paraId="5C33A697" w14:textId="2FDEA02B" w:rsidR="00C11051" w:rsidRPr="00473482" w:rsidRDefault="00EA03DB" w:rsidP="00473482">
          <w:pPr>
            <w:pStyle w:val="FrontpagetextNRC"/>
            <w:framePr w:wrap="around" w:hAnchor="page" w:x="1935" w:y="6833"/>
            <w:rPr>
              <w:color w:val="auto"/>
            </w:rPr>
          </w:pPr>
          <w:r>
            <w:rPr>
              <w:color w:val="auto"/>
            </w:rPr>
            <w:t xml:space="preserve">Lieu: </w:t>
          </w:r>
          <w:r w:rsidR="004A76E3">
            <w:rPr>
              <w:color w:val="auto"/>
            </w:rPr>
            <w:t>Mali</w:t>
          </w:r>
        </w:p>
        <w:p w14:paraId="5C33A698" w14:textId="77777777" w:rsidR="00473482" w:rsidRDefault="00473482" w:rsidP="00473482">
          <w:pPr>
            <w:jc w:val="both"/>
            <w:rPr>
              <w:rFonts w:ascii="Calibri" w:hAnsi="Calibri" w:cs="Calibri"/>
              <w:b/>
              <w:lang w:val="en-US"/>
            </w:rPr>
          </w:pPr>
        </w:p>
        <w:p w14:paraId="5C33A699" w14:textId="44356BAA" w:rsidR="00C11051" w:rsidRPr="000F49D1" w:rsidRDefault="00AA5B5A" w:rsidP="00C11051">
          <w:pPr>
            <w:pStyle w:val="Heading1"/>
            <w:rPr>
              <w:lang w:val="fr-FR"/>
            </w:rPr>
          </w:pPr>
          <w:r w:rsidRPr="000F49D1">
            <w:rPr>
              <w:lang w:val="fr-FR"/>
            </w:rPr>
            <w:t>Informations générales</w:t>
          </w:r>
        </w:p>
        <w:tbl>
          <w:tblPr>
            <w:tblStyle w:val="TableGrid"/>
            <w:tblpPr w:leftFromText="180" w:rightFromText="180" w:vertAnchor="text" w:horzAnchor="margin" w:tblpY="2066"/>
            <w:tblW w:w="9918" w:type="dxa"/>
            <w:tblLook w:val="04A0" w:firstRow="1" w:lastRow="0" w:firstColumn="1" w:lastColumn="0" w:noHBand="0" w:noVBand="1"/>
          </w:tblPr>
          <w:tblGrid>
            <w:gridCol w:w="9918"/>
          </w:tblGrid>
          <w:tr w:rsidR="00C11051" w14:paraId="5C33A69B" w14:textId="77777777" w:rsidTr="32B2E055">
            <w:tc>
              <w:tcPr>
                <w:tcW w:w="9918" w:type="dxa"/>
              </w:tcPr>
              <w:p w14:paraId="5C33A69A" w14:textId="28FA0FCF" w:rsidR="00C11051" w:rsidRPr="00C11051" w:rsidRDefault="004A76E3" w:rsidP="004A76E3">
                <w:pPr>
                  <w:pStyle w:val="Heading2"/>
                  <w:outlineLvl w:val="1"/>
                </w:pPr>
                <w:r w:rsidRPr="00AA5B5A">
                  <w:rPr>
                    <w:lang w:val="fr-FR"/>
                  </w:rPr>
                  <w:t>Contexte</w:t>
                </w:r>
              </w:p>
            </w:tc>
          </w:tr>
          <w:tr w:rsidR="00C11051" w:rsidRPr="006943C6" w14:paraId="5C33A6A1" w14:textId="77777777" w:rsidTr="32B2E055">
            <w:tc>
              <w:tcPr>
                <w:tcW w:w="9918" w:type="dxa"/>
              </w:tcPr>
              <w:p w14:paraId="2A9A604A" w14:textId="0590D9BA" w:rsidR="0060760C" w:rsidRPr="009313D3" w:rsidRDefault="00AA5B5A" w:rsidP="0060760C">
                <w:pPr>
                  <w:spacing w:after="200" w:line="276" w:lineRule="auto"/>
                  <w:contextualSpacing/>
                  <w:jc w:val="both"/>
                  <w:rPr>
                    <w:color w:val="auto"/>
                    <w:sz w:val="24"/>
                    <w:szCs w:val="24"/>
                    <w:lang w:val="fr-FR"/>
                  </w:rPr>
                </w:pPr>
                <w:r w:rsidRPr="0A38F48B">
                  <w:rPr>
                    <w:color w:val="auto"/>
                    <w:sz w:val="24"/>
                    <w:szCs w:val="24"/>
                    <w:lang w:val="fr-FR"/>
                  </w:rPr>
                  <w:t>Le Mali subit une crise multidimensionnelle depuis 10 ans.  Les principaux moteurs de la crise sont (1) les conflits/l'insécurité, (2) les catastrophes naturelles (sécheresses et inondations) et (3) les urgences sanitaires et les épidémies dont la COVID-19</w:t>
                </w:r>
                <w:r w:rsidR="0060760C" w:rsidRPr="0A38F48B">
                  <w:rPr>
                    <w:color w:val="auto"/>
                    <w:sz w:val="24"/>
                    <w:szCs w:val="24"/>
                    <w:lang w:val="fr-FR"/>
                  </w:rPr>
                  <w:t xml:space="preserve"> (OCHA, 2022)</w:t>
                </w:r>
                <w:r w:rsidRPr="0A38F48B">
                  <w:rPr>
                    <w:color w:val="auto"/>
                    <w:sz w:val="24"/>
                    <w:szCs w:val="24"/>
                    <w:lang w:val="fr-FR"/>
                  </w:rPr>
                  <w:t xml:space="preserve">. </w:t>
                </w:r>
                <w:r w:rsidR="0060760C" w:rsidRPr="0A38F48B">
                  <w:rPr>
                    <w:color w:val="auto"/>
                    <w:sz w:val="24"/>
                    <w:szCs w:val="24"/>
                    <w:lang w:val="fr-FR"/>
                  </w:rPr>
                  <w:t xml:space="preserve"> La crise continue de sévir dans les régions du Nord (Taoudénit, Tombouctou, Gao, Ménaka et Kidal) et le centre du pays (Mopti et Ségou), avec une propagation grandissante dans les régions ouest et sud du pays à Kayes, Koulikoro, Sikasso (OCHA, 2022).</w:t>
                </w:r>
              </w:p>
              <w:p w14:paraId="57BAA5C4" w14:textId="575B0611" w:rsidR="0060760C" w:rsidRPr="009313D3" w:rsidRDefault="0060760C" w:rsidP="0060760C">
                <w:pPr>
                  <w:spacing w:after="200" w:line="276" w:lineRule="auto"/>
                  <w:contextualSpacing/>
                  <w:jc w:val="both"/>
                  <w:rPr>
                    <w:color w:val="auto"/>
                    <w:sz w:val="24"/>
                    <w:szCs w:val="24"/>
                    <w:lang w:val="fr-FR"/>
                  </w:rPr>
                </w:pPr>
              </w:p>
              <w:p w14:paraId="5A049882" w14:textId="63A392F9" w:rsidR="0060760C" w:rsidRPr="009313D3" w:rsidRDefault="0060760C" w:rsidP="0060760C">
                <w:pPr>
                  <w:spacing w:after="200" w:line="276" w:lineRule="auto"/>
                  <w:contextualSpacing/>
                  <w:jc w:val="both"/>
                  <w:rPr>
                    <w:color w:val="auto"/>
                    <w:sz w:val="24"/>
                    <w:szCs w:val="24"/>
                    <w:lang w:val="fr-FR"/>
                  </w:rPr>
                </w:pPr>
                <w:r w:rsidRPr="0A38F48B">
                  <w:rPr>
                    <w:color w:val="auto"/>
                    <w:sz w:val="24"/>
                    <w:szCs w:val="24"/>
                    <w:lang w:val="fr-FR"/>
                  </w:rPr>
                  <w:t xml:space="preserve">En conséquences, les déplacements internes ont </w:t>
                </w:r>
                <w:r w:rsidR="001B0BBF" w:rsidRPr="0A38F48B">
                  <w:rPr>
                    <w:color w:val="auto"/>
                    <w:sz w:val="24"/>
                    <w:szCs w:val="24"/>
                    <w:lang w:val="fr-FR"/>
                  </w:rPr>
                  <w:t>augmenté</w:t>
                </w:r>
                <w:r w:rsidRPr="0A38F48B">
                  <w:rPr>
                    <w:color w:val="auto"/>
                    <w:sz w:val="24"/>
                    <w:szCs w:val="24"/>
                    <w:lang w:val="fr-FR"/>
                  </w:rPr>
                  <w:t xml:space="preserve"> de 100 000 en 2021, pour atteindre plus de </w:t>
                </w:r>
                <w:r w:rsidR="002E490C" w:rsidRPr="00EA03DB">
                  <w:rPr>
                    <w:lang w:val="fr-FR"/>
                  </w:rPr>
                  <w:t xml:space="preserve"> </w:t>
                </w:r>
                <w:r w:rsidR="002E490C" w:rsidRPr="002E490C">
                  <w:rPr>
                    <w:color w:val="auto"/>
                    <w:sz w:val="24"/>
                    <w:szCs w:val="24"/>
                    <w:lang w:val="fr-FR"/>
                  </w:rPr>
                  <w:t>370 548</w:t>
                </w:r>
                <w:r w:rsidR="00F63F44">
                  <w:rPr>
                    <w:rStyle w:val="FootnoteReference"/>
                    <w:color w:val="auto"/>
                    <w:sz w:val="24"/>
                    <w:szCs w:val="24"/>
                    <w:lang w:val="fr-FR"/>
                  </w:rPr>
                  <w:footnoteReference w:id="1"/>
                </w:r>
                <w:r w:rsidR="002E490C" w:rsidRPr="002E490C" w:rsidDel="002E490C">
                  <w:rPr>
                    <w:color w:val="auto"/>
                    <w:sz w:val="24"/>
                    <w:szCs w:val="24"/>
                    <w:lang w:val="fr-FR"/>
                  </w:rPr>
                  <w:t xml:space="preserve"> </w:t>
                </w:r>
                <w:r w:rsidR="00F63F44" w:rsidRPr="00EA03DB">
                  <w:rPr>
                    <w:lang w:val="fr-FR"/>
                  </w:rPr>
                  <w:t xml:space="preserve"> </w:t>
                </w:r>
                <w:r w:rsidR="00F63F44" w:rsidRPr="00F63F44">
                  <w:rPr>
                    <w:color w:val="auto"/>
                    <w:sz w:val="24"/>
                    <w:szCs w:val="24"/>
                    <w:lang w:val="fr-FR"/>
                  </w:rPr>
                  <w:t>personnes déplacées internes enregistrées à la date du 30 avril 2022</w:t>
                </w:r>
                <w:r w:rsidRPr="0A38F48B">
                  <w:rPr>
                    <w:color w:val="auto"/>
                    <w:sz w:val="24"/>
                    <w:szCs w:val="24"/>
                    <w:lang w:val="fr-FR"/>
                  </w:rPr>
                  <w:t xml:space="preserve">, soit </w:t>
                </w:r>
                <w:r w:rsidR="002E490C">
                  <w:rPr>
                    <w:color w:val="auto"/>
                    <w:sz w:val="24"/>
                    <w:szCs w:val="24"/>
                    <w:lang w:val="fr-FR"/>
                  </w:rPr>
                  <w:t xml:space="preserve">près de </w:t>
                </w:r>
                <w:r w:rsidRPr="0A38F48B">
                  <w:rPr>
                    <w:color w:val="auto"/>
                    <w:sz w:val="24"/>
                    <w:szCs w:val="24"/>
                    <w:lang w:val="fr-FR"/>
                  </w:rPr>
                  <w:t>quatre fois plus qu'il y a deux ans. De plus 156</w:t>
                </w:r>
                <w:r w:rsidR="001B0BBF" w:rsidRPr="0A38F48B">
                  <w:rPr>
                    <w:color w:val="auto"/>
                    <w:sz w:val="24"/>
                    <w:szCs w:val="24"/>
                    <w:lang w:val="fr-FR"/>
                  </w:rPr>
                  <w:t> </w:t>
                </w:r>
                <w:r w:rsidRPr="0A38F48B">
                  <w:rPr>
                    <w:color w:val="auto"/>
                    <w:sz w:val="24"/>
                    <w:szCs w:val="24"/>
                    <w:lang w:val="fr-FR"/>
                  </w:rPr>
                  <w:t>000</w:t>
                </w:r>
                <w:r w:rsidR="001B0BBF" w:rsidRPr="0A38F48B">
                  <w:rPr>
                    <w:color w:val="auto"/>
                    <w:sz w:val="24"/>
                    <w:szCs w:val="24"/>
                    <w:lang w:val="fr-FR"/>
                  </w:rPr>
                  <w:t xml:space="preserve"> </w:t>
                </w:r>
                <w:r w:rsidRPr="0A38F48B">
                  <w:rPr>
                    <w:color w:val="auto"/>
                    <w:sz w:val="24"/>
                    <w:szCs w:val="24"/>
                    <w:lang w:val="fr-FR"/>
                  </w:rPr>
                  <w:t>réfugiés maliens résident dans les pays voisins, et le</w:t>
                </w:r>
                <w:r w:rsidR="001B0BBF" w:rsidRPr="0A38F48B">
                  <w:rPr>
                    <w:color w:val="auto"/>
                    <w:sz w:val="24"/>
                    <w:szCs w:val="24"/>
                    <w:lang w:val="fr-FR"/>
                  </w:rPr>
                  <w:t xml:space="preserve"> </w:t>
                </w:r>
                <w:r w:rsidRPr="0A38F48B">
                  <w:rPr>
                    <w:color w:val="auto"/>
                    <w:sz w:val="24"/>
                    <w:szCs w:val="24"/>
                    <w:lang w:val="fr-FR"/>
                  </w:rPr>
                  <w:t>Mali accueille et fournit protection et assistance à 48</w:t>
                </w:r>
                <w:r w:rsidR="001B0BBF" w:rsidRPr="0A38F48B">
                  <w:rPr>
                    <w:color w:val="auto"/>
                    <w:sz w:val="24"/>
                    <w:szCs w:val="24"/>
                    <w:lang w:val="fr-FR"/>
                  </w:rPr>
                  <w:t xml:space="preserve"> </w:t>
                </w:r>
                <w:r w:rsidRPr="0A38F48B">
                  <w:rPr>
                    <w:color w:val="auto"/>
                    <w:sz w:val="24"/>
                    <w:szCs w:val="24"/>
                    <w:lang w:val="fr-FR"/>
                  </w:rPr>
                  <w:t>000 réfugiés</w:t>
                </w:r>
                <w:r w:rsidR="001B0BBF" w:rsidRPr="0A38F48B">
                  <w:rPr>
                    <w:color w:val="auto"/>
                    <w:sz w:val="24"/>
                    <w:szCs w:val="24"/>
                    <w:lang w:val="fr-FR"/>
                  </w:rPr>
                  <w:t xml:space="preserve"> (OCHA, 2022)</w:t>
                </w:r>
                <w:r w:rsidRPr="0A38F48B">
                  <w:rPr>
                    <w:color w:val="auto"/>
                    <w:sz w:val="24"/>
                    <w:szCs w:val="24"/>
                    <w:lang w:val="fr-FR"/>
                  </w:rPr>
                  <w:t>.</w:t>
                </w:r>
              </w:p>
              <w:p w14:paraId="79D83B52" w14:textId="33069FB9" w:rsidR="001B0BBF" w:rsidRPr="009313D3" w:rsidRDefault="001B0BBF" w:rsidP="0060760C">
                <w:pPr>
                  <w:spacing w:after="200" w:line="276" w:lineRule="auto"/>
                  <w:contextualSpacing/>
                  <w:jc w:val="both"/>
                  <w:rPr>
                    <w:color w:val="auto"/>
                    <w:sz w:val="24"/>
                    <w:szCs w:val="24"/>
                    <w:lang w:val="fr-FR"/>
                  </w:rPr>
                </w:pPr>
              </w:p>
              <w:p w14:paraId="076FDBC9" w14:textId="421E07B5" w:rsidR="001B0BBF" w:rsidRPr="009313D3" w:rsidRDefault="001B0BBF" w:rsidP="001B0BBF">
                <w:pPr>
                  <w:spacing w:after="200" w:line="276" w:lineRule="auto"/>
                  <w:contextualSpacing/>
                  <w:jc w:val="both"/>
                  <w:rPr>
                    <w:color w:val="auto"/>
                    <w:sz w:val="24"/>
                    <w:szCs w:val="24"/>
                    <w:lang w:val="fr-FR"/>
                  </w:rPr>
                </w:pPr>
                <w:r w:rsidRPr="009313D3">
                  <w:rPr>
                    <w:color w:val="auto"/>
                    <w:sz w:val="24"/>
                    <w:szCs w:val="24"/>
                    <w:lang w:val="fr-FR"/>
                  </w:rPr>
                  <w:lastRenderedPageBreak/>
                  <w:t>En</w:t>
                </w:r>
                <w:r w:rsidR="0088200C">
                  <w:rPr>
                    <w:color w:val="auto"/>
                    <w:sz w:val="24"/>
                    <w:szCs w:val="24"/>
                    <w:lang w:val="fr-FR"/>
                  </w:rPr>
                  <w:t xml:space="preserve"> résumé</w:t>
                </w:r>
                <w:r w:rsidRPr="009313D3">
                  <w:rPr>
                    <w:color w:val="auto"/>
                    <w:sz w:val="24"/>
                    <w:szCs w:val="24"/>
                    <w:lang w:val="fr-FR"/>
                  </w:rPr>
                  <w:t xml:space="preserve">, 12,9 millions de personnes, contre 11,7 millions en 2021, sont affectées. Parmi elles 52% sont des femmes et 56% sont des enfants. Il est estimé que </w:t>
                </w:r>
                <w:r w:rsidR="0088200C">
                  <w:rPr>
                    <w:color w:val="auto"/>
                    <w:sz w:val="24"/>
                    <w:szCs w:val="24"/>
                    <w:lang w:val="fr-FR"/>
                  </w:rPr>
                  <w:t>parmi</w:t>
                </w:r>
                <w:r w:rsidR="0088200C" w:rsidRPr="009313D3">
                  <w:rPr>
                    <w:color w:val="auto"/>
                    <w:sz w:val="24"/>
                    <w:szCs w:val="24"/>
                    <w:lang w:val="fr-FR"/>
                  </w:rPr>
                  <w:t xml:space="preserve"> </w:t>
                </w:r>
                <w:r w:rsidRPr="009313D3">
                  <w:rPr>
                    <w:color w:val="auto"/>
                    <w:sz w:val="24"/>
                    <w:szCs w:val="24"/>
                    <w:lang w:val="fr-FR"/>
                  </w:rPr>
                  <w:t>ces personnes affectées, 7,5 millions sont en besoin d’assistance humanitaire dont 2,4 millions présentent des besoins aigu</w:t>
                </w:r>
                <w:r w:rsidR="00DA6CBF">
                  <w:rPr>
                    <w:color w:val="auto"/>
                    <w:sz w:val="24"/>
                    <w:szCs w:val="24"/>
                    <w:lang w:val="fr-FR"/>
                  </w:rPr>
                  <w:t>s</w:t>
                </w:r>
                <w:r w:rsidRPr="009313D3">
                  <w:rPr>
                    <w:color w:val="auto"/>
                    <w:sz w:val="24"/>
                    <w:szCs w:val="24"/>
                    <w:lang w:val="fr-FR"/>
                  </w:rPr>
                  <w:t>. Ainsi, 36% de la population totale</w:t>
                </w:r>
                <w:r w:rsidR="00DA6CBF">
                  <w:rPr>
                    <w:color w:val="auto"/>
                    <w:sz w:val="24"/>
                    <w:szCs w:val="24"/>
                    <w:lang w:val="fr-FR"/>
                  </w:rPr>
                  <w:t xml:space="preserve"> du Mali est dans le</w:t>
                </w:r>
                <w:r w:rsidRPr="009313D3">
                  <w:rPr>
                    <w:color w:val="auto"/>
                    <w:sz w:val="24"/>
                    <w:szCs w:val="24"/>
                    <w:lang w:val="fr-FR"/>
                  </w:rPr>
                  <w:t xml:space="preserve"> besoin d’une assistance humanitaire (OCHA, 2022).</w:t>
                </w:r>
              </w:p>
              <w:p w14:paraId="094F14CB" w14:textId="77777777" w:rsidR="001B0BBF" w:rsidRPr="009313D3" w:rsidRDefault="001B0BBF" w:rsidP="001B0BBF">
                <w:pPr>
                  <w:spacing w:after="200" w:line="276" w:lineRule="auto"/>
                  <w:contextualSpacing/>
                  <w:jc w:val="both"/>
                  <w:rPr>
                    <w:color w:val="auto"/>
                    <w:sz w:val="24"/>
                    <w:szCs w:val="24"/>
                    <w:lang w:val="fr-FR"/>
                  </w:rPr>
                </w:pPr>
              </w:p>
              <w:p w14:paraId="5C33A6A0" w14:textId="151A7C5B" w:rsidR="00C11051" w:rsidRPr="009313D3" w:rsidRDefault="001B0BBF" w:rsidP="002E490C">
                <w:pPr>
                  <w:spacing w:after="200" w:line="276" w:lineRule="auto"/>
                  <w:contextualSpacing/>
                  <w:jc w:val="both"/>
                  <w:rPr>
                    <w:color w:val="auto"/>
                    <w:sz w:val="24"/>
                    <w:szCs w:val="24"/>
                    <w:lang w:val="fr-FR"/>
                  </w:rPr>
                </w:pPr>
                <w:r w:rsidRPr="009313D3">
                  <w:rPr>
                    <w:color w:val="auto"/>
                    <w:sz w:val="24"/>
                    <w:szCs w:val="24"/>
                    <w:lang w:val="fr-FR"/>
                  </w:rPr>
                  <w:t xml:space="preserve">Les besoins sont d’ordre alimentaire, nutritionnels, </w:t>
                </w:r>
                <w:r w:rsidR="00B33D50" w:rsidRPr="009313D3">
                  <w:rPr>
                    <w:color w:val="auto"/>
                    <w:sz w:val="24"/>
                    <w:szCs w:val="24"/>
                    <w:lang w:val="fr-FR"/>
                  </w:rPr>
                  <w:t xml:space="preserve">la protection et éducationnels. D’autres besoins sont liés à l’accès à l’eau, hygiène et assainissement ; à la santé ; aux logements adéquats et aux </w:t>
                </w:r>
                <w:r w:rsidR="00DA6CBF">
                  <w:rPr>
                    <w:color w:val="auto"/>
                    <w:sz w:val="24"/>
                    <w:szCs w:val="24"/>
                    <w:lang w:val="fr-FR"/>
                  </w:rPr>
                  <w:t>articles ménagers essentiels</w:t>
                </w:r>
                <w:r w:rsidR="00B33D50" w:rsidRPr="009313D3">
                  <w:rPr>
                    <w:color w:val="auto"/>
                    <w:sz w:val="24"/>
                    <w:szCs w:val="24"/>
                    <w:lang w:val="fr-FR"/>
                  </w:rPr>
                  <w:t>.</w:t>
                </w:r>
              </w:p>
            </w:tc>
          </w:tr>
          <w:tr w:rsidR="00C11051" w:rsidRPr="006943C6" w14:paraId="5C33A6A3" w14:textId="77777777" w:rsidTr="32B2E055">
            <w:tc>
              <w:tcPr>
                <w:tcW w:w="9918" w:type="dxa"/>
              </w:tcPr>
              <w:p w14:paraId="5C33A6A2" w14:textId="18450AD8" w:rsidR="00C11051" w:rsidRPr="004A76E3" w:rsidRDefault="004A76E3" w:rsidP="004A76E3">
                <w:pPr>
                  <w:pStyle w:val="Heading2"/>
                  <w:outlineLvl w:val="1"/>
                  <w:rPr>
                    <w:lang w:val="fr-FR"/>
                  </w:rPr>
                </w:pPr>
                <w:r w:rsidRPr="004A76E3">
                  <w:rPr>
                    <w:lang w:val="fr-FR"/>
                  </w:rPr>
                  <w:lastRenderedPageBreak/>
                  <w:t xml:space="preserve">Activités et </w:t>
                </w:r>
                <w:r w:rsidR="00AA5B5A" w:rsidRPr="004A76E3">
                  <w:rPr>
                    <w:lang w:val="fr-FR"/>
                  </w:rPr>
                  <w:t>présence</w:t>
                </w:r>
                <w:r w:rsidRPr="004A76E3">
                  <w:rPr>
                    <w:lang w:val="fr-FR"/>
                  </w:rPr>
                  <w:t xml:space="preserve"> de NRC au Mali</w:t>
                </w:r>
              </w:p>
            </w:tc>
          </w:tr>
          <w:tr w:rsidR="00C11051" w:rsidRPr="006943C6" w14:paraId="5C33A6A9" w14:textId="77777777" w:rsidTr="32B2E055">
            <w:tc>
              <w:tcPr>
                <w:tcW w:w="9918" w:type="dxa"/>
              </w:tcPr>
              <w:p w14:paraId="01E416F5" w14:textId="7EB1603E" w:rsidR="008A1F64" w:rsidRPr="009313D3" w:rsidRDefault="00B33D50" w:rsidP="008A1F64">
                <w:pPr>
                  <w:spacing w:after="200" w:line="276" w:lineRule="auto"/>
                  <w:contextualSpacing/>
                  <w:jc w:val="both"/>
                  <w:rPr>
                    <w:color w:val="auto"/>
                    <w:sz w:val="24"/>
                    <w:szCs w:val="24"/>
                    <w:lang w:val="fr-FR"/>
                  </w:rPr>
                </w:pPr>
                <w:r w:rsidRPr="009313D3">
                  <w:rPr>
                    <w:color w:val="auto"/>
                    <w:sz w:val="24"/>
                    <w:szCs w:val="24"/>
                    <w:lang w:val="fr-FR"/>
                  </w:rPr>
                  <w:t xml:space="preserve">NRC est présent au Mali depuis 2013 avec une mission de protéger les droits des personnes déplacées internes et les personnes vulnérables affectées par le </w:t>
                </w:r>
                <w:r w:rsidR="001B5F58">
                  <w:rPr>
                    <w:color w:val="auto"/>
                    <w:sz w:val="24"/>
                    <w:szCs w:val="24"/>
                    <w:lang w:val="fr-FR"/>
                  </w:rPr>
                  <w:t>déplacement</w:t>
                </w:r>
                <w:r w:rsidRPr="009313D3">
                  <w:rPr>
                    <w:color w:val="auto"/>
                    <w:sz w:val="24"/>
                    <w:szCs w:val="24"/>
                    <w:lang w:val="fr-FR"/>
                  </w:rPr>
                  <w:t xml:space="preserve">. NRC </w:t>
                </w:r>
                <w:r w:rsidR="008A1F64" w:rsidRPr="009313D3">
                  <w:rPr>
                    <w:color w:val="auto"/>
                    <w:sz w:val="24"/>
                    <w:szCs w:val="24"/>
                    <w:lang w:val="fr-FR"/>
                  </w:rPr>
                  <w:t>mène</w:t>
                </w:r>
                <w:r w:rsidRPr="009313D3">
                  <w:rPr>
                    <w:color w:val="auto"/>
                    <w:sz w:val="24"/>
                    <w:szCs w:val="24"/>
                    <w:lang w:val="fr-FR"/>
                  </w:rPr>
                  <w:t xml:space="preserve"> des interventions principalement dans les régions de Gao, Ménaka, Mopti et Tombouctou</w:t>
                </w:r>
                <w:r w:rsidR="008A1F64" w:rsidRPr="009313D3">
                  <w:rPr>
                    <w:color w:val="auto"/>
                    <w:sz w:val="24"/>
                    <w:szCs w:val="24"/>
                    <w:lang w:val="fr-FR"/>
                  </w:rPr>
                  <w:t>, avec des activités ponctuelles dans les régions de Taoudénit, Koulikoro et dans le district de Bamako.  NRC œuvre dans les secteurs d’éducation ; d’abris et infrastructures ; d’eau, hygiène et assainissement ; d’information, conseil et assistance juridique ; de sécurité alimentaire ; de protection et médiation humanitaire. NRC met en œuvre aussi un vaste programme d’urgences pour répondre aux besoins immédiats des personnes déplacées dans les premiers jours de déplacements.</w:t>
                </w:r>
              </w:p>
              <w:p w14:paraId="6AB7ED46" w14:textId="77777777" w:rsidR="008A1F64" w:rsidRPr="009313D3" w:rsidRDefault="008A1F64" w:rsidP="008A1F64">
                <w:pPr>
                  <w:spacing w:after="200" w:line="276" w:lineRule="auto"/>
                  <w:contextualSpacing/>
                  <w:jc w:val="both"/>
                  <w:rPr>
                    <w:color w:val="auto"/>
                    <w:sz w:val="24"/>
                    <w:szCs w:val="24"/>
                    <w:lang w:val="fr-FR"/>
                  </w:rPr>
                </w:pPr>
              </w:p>
              <w:p w14:paraId="5E3DFED1" w14:textId="11CEB0D4" w:rsidR="008A1F64" w:rsidRPr="009313D3" w:rsidRDefault="008A1F64" w:rsidP="008A1F64">
                <w:pPr>
                  <w:spacing w:after="200" w:line="276" w:lineRule="auto"/>
                  <w:contextualSpacing/>
                  <w:jc w:val="both"/>
                  <w:rPr>
                    <w:b/>
                    <w:color w:val="auto"/>
                    <w:sz w:val="24"/>
                    <w:szCs w:val="24"/>
                    <w:lang w:val="fr-FR"/>
                  </w:rPr>
                </w:pPr>
                <w:r w:rsidRPr="009313D3">
                  <w:rPr>
                    <w:b/>
                    <w:color w:val="auto"/>
                    <w:sz w:val="24"/>
                    <w:szCs w:val="24"/>
                    <w:lang w:val="fr-FR"/>
                  </w:rPr>
                  <w:t>Education</w:t>
                </w:r>
              </w:p>
              <w:p w14:paraId="416282B7" w14:textId="3754151B" w:rsidR="008A1F64" w:rsidRPr="009313D3" w:rsidRDefault="008A1F64" w:rsidP="008A1F64">
                <w:pPr>
                  <w:spacing w:after="200" w:line="276" w:lineRule="auto"/>
                  <w:contextualSpacing/>
                  <w:jc w:val="both"/>
                  <w:rPr>
                    <w:color w:val="auto"/>
                    <w:sz w:val="24"/>
                    <w:szCs w:val="24"/>
                    <w:lang w:val="fr-FR"/>
                  </w:rPr>
                </w:pPr>
                <w:r w:rsidRPr="009313D3">
                  <w:rPr>
                    <w:color w:val="auto"/>
                    <w:sz w:val="24"/>
                    <w:szCs w:val="24"/>
                    <w:lang w:val="fr-FR"/>
                  </w:rPr>
                  <w:t xml:space="preserve">Le programme Education vise à faciliter l’accès à une éducation de qualité et accroitre la résilience des enfants et jeunes touchés par les déplacements. </w:t>
                </w:r>
                <w:r w:rsidR="001D7112" w:rsidRPr="009313D3">
                  <w:rPr>
                    <w:color w:val="auto"/>
                    <w:sz w:val="24"/>
                    <w:szCs w:val="24"/>
                    <w:lang w:val="fr-FR"/>
                  </w:rPr>
                  <w:t>Ceci est réalisé à travers :</w:t>
                </w:r>
              </w:p>
              <w:p w14:paraId="7192EC27" w14:textId="6BD1E161" w:rsidR="001D7112" w:rsidRPr="009313D3" w:rsidRDefault="001D7112" w:rsidP="007E0F48">
                <w:pPr>
                  <w:pStyle w:val="ListParagraph"/>
                  <w:numPr>
                    <w:ilvl w:val="0"/>
                    <w:numId w:val="23"/>
                  </w:numPr>
                  <w:spacing w:after="200" w:line="276" w:lineRule="auto"/>
                  <w:contextualSpacing/>
                  <w:jc w:val="both"/>
                  <w:rPr>
                    <w:color w:val="auto"/>
                    <w:sz w:val="24"/>
                    <w:szCs w:val="24"/>
                    <w:lang w:val="fr-FR"/>
                  </w:rPr>
                </w:pPr>
                <w:r w:rsidRPr="009313D3">
                  <w:rPr>
                    <w:color w:val="auto"/>
                    <w:sz w:val="24"/>
                    <w:szCs w:val="24"/>
                    <w:lang w:val="fr-FR"/>
                  </w:rPr>
                  <w:t>La mise en place de centre</w:t>
                </w:r>
                <w:r w:rsidR="00253653">
                  <w:rPr>
                    <w:color w:val="auto"/>
                    <w:sz w:val="24"/>
                    <w:szCs w:val="24"/>
                    <w:lang w:val="fr-FR"/>
                  </w:rPr>
                  <w:t>s</w:t>
                </w:r>
                <w:r w:rsidRPr="009313D3">
                  <w:rPr>
                    <w:color w:val="auto"/>
                    <w:sz w:val="24"/>
                    <w:szCs w:val="24"/>
                    <w:lang w:val="fr-FR"/>
                  </w:rPr>
                  <w:t xml:space="preserve"> d’apprentissage accéléré pour les enfants déscolarisés ou non scolarisés</w:t>
                </w:r>
              </w:p>
              <w:p w14:paraId="0555114A" w14:textId="4C372C5A" w:rsidR="001D7112" w:rsidRPr="009313D3" w:rsidRDefault="001D7112" w:rsidP="007E0F48">
                <w:pPr>
                  <w:pStyle w:val="ListParagraph"/>
                  <w:numPr>
                    <w:ilvl w:val="0"/>
                    <w:numId w:val="23"/>
                  </w:numPr>
                  <w:spacing w:after="200" w:line="276" w:lineRule="auto"/>
                  <w:contextualSpacing/>
                  <w:jc w:val="both"/>
                  <w:rPr>
                    <w:color w:val="auto"/>
                    <w:sz w:val="24"/>
                    <w:szCs w:val="24"/>
                    <w:lang w:val="fr-FR"/>
                  </w:rPr>
                </w:pPr>
                <w:r w:rsidRPr="0A38F48B">
                  <w:rPr>
                    <w:color w:val="auto"/>
                    <w:sz w:val="24"/>
                    <w:szCs w:val="24"/>
                    <w:lang w:val="fr-FR"/>
                  </w:rPr>
                  <w:t xml:space="preserve">L’appui au système scolaire </w:t>
                </w:r>
                <w:r w:rsidR="00F63F44">
                  <w:rPr>
                    <w:color w:val="auto"/>
                    <w:sz w:val="24"/>
                    <w:szCs w:val="24"/>
                    <w:lang w:val="fr-FR"/>
                  </w:rPr>
                  <w:t xml:space="preserve">formel au niveau du fondamental 1 et du fondamental 2 </w:t>
                </w:r>
                <w:r w:rsidRPr="0A38F48B">
                  <w:rPr>
                    <w:color w:val="auto"/>
                    <w:sz w:val="24"/>
                    <w:szCs w:val="24"/>
                    <w:lang w:val="fr-FR"/>
                  </w:rPr>
                  <w:t xml:space="preserve">(formation des enseignants, distributions des fournitures scolaires et didactiques, construction/réhabilitation des infrastructures scolaires, des points d’eau et des latrines, </w:t>
                </w:r>
                <w:r w:rsidRPr="00EA03DB">
                  <w:rPr>
                    <w:color w:val="auto"/>
                    <w:sz w:val="24"/>
                    <w:szCs w:val="24"/>
                    <w:lang w:val="fr-FR"/>
                  </w:rPr>
                  <w:t>gouvernance</w:t>
                </w:r>
                <w:r w:rsidRPr="0A38F48B">
                  <w:rPr>
                    <w:color w:val="auto"/>
                    <w:sz w:val="24"/>
                    <w:szCs w:val="24"/>
                    <w:lang w:val="fr-FR"/>
                  </w:rPr>
                  <w:t>)</w:t>
                </w:r>
              </w:p>
              <w:p w14:paraId="25B685BE" w14:textId="16C6BA25" w:rsidR="001D7112" w:rsidRPr="009313D3" w:rsidRDefault="001D7112" w:rsidP="007E0F48">
                <w:pPr>
                  <w:pStyle w:val="ListParagraph"/>
                  <w:numPr>
                    <w:ilvl w:val="0"/>
                    <w:numId w:val="23"/>
                  </w:numPr>
                  <w:spacing w:after="200" w:line="276" w:lineRule="auto"/>
                  <w:contextualSpacing/>
                  <w:jc w:val="both"/>
                  <w:rPr>
                    <w:color w:val="auto"/>
                    <w:sz w:val="24"/>
                    <w:szCs w:val="24"/>
                    <w:lang w:val="fr-FR"/>
                  </w:rPr>
                </w:pPr>
                <w:r w:rsidRPr="009313D3">
                  <w:rPr>
                    <w:color w:val="auto"/>
                    <w:sz w:val="24"/>
                    <w:szCs w:val="24"/>
                    <w:lang w:val="fr-FR"/>
                  </w:rPr>
                  <w:t>La mise en place de centre</w:t>
                </w:r>
                <w:r w:rsidR="00253653">
                  <w:rPr>
                    <w:color w:val="auto"/>
                    <w:sz w:val="24"/>
                    <w:szCs w:val="24"/>
                    <w:lang w:val="fr-FR"/>
                  </w:rPr>
                  <w:t>s</w:t>
                </w:r>
                <w:r w:rsidRPr="009313D3">
                  <w:rPr>
                    <w:color w:val="auto"/>
                    <w:sz w:val="24"/>
                    <w:szCs w:val="24"/>
                    <w:lang w:val="fr-FR"/>
                  </w:rPr>
                  <w:t xml:space="preserve"> d’apprentissage communautaire</w:t>
                </w:r>
                <w:r w:rsidR="00253653">
                  <w:rPr>
                    <w:color w:val="auto"/>
                    <w:sz w:val="24"/>
                    <w:szCs w:val="24"/>
                    <w:lang w:val="fr-FR"/>
                  </w:rPr>
                  <w:t>s</w:t>
                </w:r>
                <w:r w:rsidRPr="009313D3">
                  <w:rPr>
                    <w:color w:val="auto"/>
                    <w:sz w:val="24"/>
                    <w:szCs w:val="24"/>
                    <w:lang w:val="fr-FR"/>
                  </w:rPr>
                  <w:t xml:space="preserve"> dans les zones où les écoles sont fermées</w:t>
                </w:r>
              </w:p>
              <w:p w14:paraId="3958C6D8" w14:textId="2F072414" w:rsidR="001D7112" w:rsidRPr="009313D3" w:rsidRDefault="001D7112" w:rsidP="007E0F48">
                <w:pPr>
                  <w:pStyle w:val="ListParagraph"/>
                  <w:numPr>
                    <w:ilvl w:val="0"/>
                    <w:numId w:val="23"/>
                  </w:numPr>
                  <w:spacing w:after="200" w:line="276" w:lineRule="auto"/>
                  <w:contextualSpacing/>
                  <w:jc w:val="both"/>
                  <w:rPr>
                    <w:color w:val="auto"/>
                    <w:sz w:val="24"/>
                    <w:szCs w:val="24"/>
                    <w:lang w:val="fr-FR"/>
                  </w:rPr>
                </w:pPr>
                <w:r w:rsidRPr="009313D3">
                  <w:rPr>
                    <w:color w:val="auto"/>
                    <w:sz w:val="24"/>
                    <w:szCs w:val="24"/>
                    <w:lang w:val="fr-FR"/>
                  </w:rPr>
                  <w:t>L’insertion socioéconomique des enfants et jeunes retournés, rapatriés et les communautés vulnérables à travers une formation en métiers.</w:t>
                </w:r>
              </w:p>
              <w:p w14:paraId="4A5766DB" w14:textId="4871B950" w:rsidR="008A1F64" w:rsidRPr="009313D3" w:rsidRDefault="008A1F64" w:rsidP="008A1F64">
                <w:pPr>
                  <w:spacing w:after="200" w:line="276" w:lineRule="auto"/>
                  <w:contextualSpacing/>
                  <w:jc w:val="both"/>
                  <w:rPr>
                    <w:b/>
                    <w:color w:val="auto"/>
                    <w:sz w:val="24"/>
                    <w:szCs w:val="24"/>
                    <w:lang w:val="fr-FR"/>
                  </w:rPr>
                </w:pPr>
                <w:r w:rsidRPr="009313D3">
                  <w:rPr>
                    <w:b/>
                    <w:color w:val="auto"/>
                    <w:sz w:val="24"/>
                    <w:szCs w:val="24"/>
                    <w:lang w:val="fr-FR"/>
                  </w:rPr>
                  <w:t>Abri</w:t>
                </w:r>
                <w:r w:rsidR="005E5A6E">
                  <w:rPr>
                    <w:b/>
                    <w:color w:val="auto"/>
                    <w:sz w:val="24"/>
                    <w:szCs w:val="24"/>
                    <w:lang w:val="fr-FR"/>
                  </w:rPr>
                  <w:t xml:space="preserve">, </w:t>
                </w:r>
                <w:r w:rsidRPr="009313D3">
                  <w:rPr>
                    <w:b/>
                    <w:color w:val="auto"/>
                    <w:sz w:val="24"/>
                    <w:szCs w:val="24"/>
                    <w:lang w:val="fr-FR"/>
                  </w:rPr>
                  <w:t>infrastructures</w:t>
                </w:r>
                <w:r w:rsidR="005E5A6E">
                  <w:rPr>
                    <w:b/>
                    <w:color w:val="auto"/>
                    <w:sz w:val="24"/>
                    <w:szCs w:val="24"/>
                    <w:lang w:val="fr-FR"/>
                  </w:rPr>
                  <w:t>, Eau, Hygiène et Assainissement</w:t>
                </w:r>
                <w:r w:rsidR="00745618">
                  <w:rPr>
                    <w:b/>
                    <w:color w:val="auto"/>
                    <w:sz w:val="24"/>
                    <w:szCs w:val="24"/>
                    <w:lang w:val="fr-FR"/>
                  </w:rPr>
                  <w:t xml:space="preserve"> (WASH)</w:t>
                </w:r>
              </w:p>
              <w:p w14:paraId="1A13718A" w14:textId="7BAD55D4" w:rsidR="005E5A6E" w:rsidRDefault="005E5A6E" w:rsidP="005E5A6E">
                <w:pPr>
                  <w:spacing w:after="200" w:line="276" w:lineRule="auto"/>
                  <w:contextualSpacing/>
                  <w:jc w:val="both"/>
                  <w:rPr>
                    <w:color w:val="auto"/>
                    <w:sz w:val="24"/>
                    <w:szCs w:val="24"/>
                    <w:lang w:val="fr-FR"/>
                  </w:rPr>
                </w:pPr>
                <w:r>
                  <w:rPr>
                    <w:color w:val="auto"/>
                    <w:sz w:val="24"/>
                    <w:szCs w:val="24"/>
                    <w:lang w:val="fr-FR"/>
                  </w:rPr>
                  <w:t>Le programme Abri</w:t>
                </w:r>
                <w:r w:rsidR="00745618">
                  <w:rPr>
                    <w:color w:val="auto"/>
                    <w:sz w:val="24"/>
                    <w:szCs w:val="24"/>
                    <w:lang w:val="fr-FR"/>
                  </w:rPr>
                  <w:t xml:space="preserve">, </w:t>
                </w:r>
                <w:r>
                  <w:rPr>
                    <w:color w:val="auto"/>
                    <w:sz w:val="24"/>
                    <w:szCs w:val="24"/>
                    <w:lang w:val="fr-FR"/>
                  </w:rPr>
                  <w:t>infrastructures</w:t>
                </w:r>
                <w:r w:rsidR="00745618">
                  <w:rPr>
                    <w:color w:val="auto"/>
                    <w:sz w:val="24"/>
                    <w:szCs w:val="24"/>
                    <w:lang w:val="fr-FR"/>
                  </w:rPr>
                  <w:t xml:space="preserve"> et WASH</w:t>
                </w:r>
                <w:r>
                  <w:rPr>
                    <w:color w:val="auto"/>
                    <w:sz w:val="24"/>
                    <w:szCs w:val="24"/>
                    <w:lang w:val="fr-FR"/>
                  </w:rPr>
                  <w:t xml:space="preserve"> fournit :</w:t>
                </w:r>
              </w:p>
              <w:p w14:paraId="152EC7D2" w14:textId="77777777" w:rsidR="005E5A6E" w:rsidRDefault="005E5A6E" w:rsidP="005E5A6E">
                <w:pPr>
                  <w:pStyle w:val="ListParagraph"/>
                  <w:numPr>
                    <w:ilvl w:val="0"/>
                    <w:numId w:val="44"/>
                  </w:numPr>
                  <w:spacing w:after="200" w:line="276" w:lineRule="auto"/>
                  <w:contextualSpacing/>
                  <w:jc w:val="both"/>
                  <w:rPr>
                    <w:color w:val="auto"/>
                    <w:sz w:val="24"/>
                    <w:szCs w:val="24"/>
                    <w:lang w:val="fr-FR"/>
                  </w:rPr>
                </w:pPr>
                <w:r w:rsidRPr="005E5A6E">
                  <w:rPr>
                    <w:color w:val="auto"/>
                    <w:sz w:val="24"/>
                    <w:szCs w:val="24"/>
                    <w:lang w:val="fr-FR"/>
                  </w:rPr>
                  <w:lastRenderedPageBreak/>
                  <w:t>Une aide d'urgence aux personnes touchées par le déplacement en distribuant des articles ménagers essentiels comme des couvertures, des moustiquaires, des ustensiles de cuisine, des vêtements et du savon</w:t>
                </w:r>
              </w:p>
              <w:p w14:paraId="1A4C4B35" w14:textId="77777777" w:rsidR="005E5A6E" w:rsidRDefault="005E5A6E" w:rsidP="005E5A6E">
                <w:pPr>
                  <w:pStyle w:val="ListParagraph"/>
                  <w:numPr>
                    <w:ilvl w:val="0"/>
                    <w:numId w:val="44"/>
                  </w:numPr>
                  <w:spacing w:after="200" w:line="276" w:lineRule="auto"/>
                  <w:contextualSpacing/>
                  <w:jc w:val="both"/>
                  <w:rPr>
                    <w:color w:val="auto"/>
                    <w:sz w:val="24"/>
                    <w:szCs w:val="24"/>
                    <w:lang w:val="fr-FR"/>
                  </w:rPr>
                </w:pPr>
                <w:r>
                  <w:rPr>
                    <w:color w:val="auto"/>
                    <w:sz w:val="24"/>
                    <w:szCs w:val="24"/>
                    <w:lang w:val="fr-FR"/>
                  </w:rPr>
                  <w:t>Des l</w:t>
                </w:r>
                <w:r w:rsidRPr="005E5A6E">
                  <w:rPr>
                    <w:color w:val="auto"/>
                    <w:sz w:val="24"/>
                    <w:szCs w:val="24"/>
                    <w:lang w:val="fr-FR"/>
                  </w:rPr>
                  <w:t>ogement</w:t>
                </w:r>
                <w:r>
                  <w:rPr>
                    <w:color w:val="auto"/>
                    <w:sz w:val="24"/>
                    <w:szCs w:val="24"/>
                    <w:lang w:val="fr-FR"/>
                  </w:rPr>
                  <w:t>s</w:t>
                </w:r>
                <w:r w:rsidRPr="005E5A6E">
                  <w:rPr>
                    <w:color w:val="auto"/>
                    <w:sz w:val="24"/>
                    <w:szCs w:val="24"/>
                    <w:lang w:val="fr-FR"/>
                  </w:rPr>
                  <w:t xml:space="preserve"> aux personnes déplacées et aux personnes les plus vulnérables des communautés</w:t>
                </w:r>
                <w:r>
                  <w:rPr>
                    <w:color w:val="auto"/>
                    <w:sz w:val="24"/>
                    <w:szCs w:val="24"/>
                    <w:lang w:val="fr-FR"/>
                  </w:rPr>
                  <w:t xml:space="preserve"> hôtes</w:t>
                </w:r>
              </w:p>
              <w:p w14:paraId="2C51FDFD" w14:textId="77777777" w:rsidR="00F63F44" w:rsidRDefault="005E5A6E" w:rsidP="005E5A6E">
                <w:pPr>
                  <w:pStyle w:val="ListParagraph"/>
                  <w:numPr>
                    <w:ilvl w:val="0"/>
                    <w:numId w:val="44"/>
                  </w:numPr>
                  <w:spacing w:after="200" w:line="276" w:lineRule="auto"/>
                  <w:contextualSpacing/>
                  <w:jc w:val="both"/>
                  <w:rPr>
                    <w:color w:val="auto"/>
                    <w:sz w:val="24"/>
                    <w:szCs w:val="24"/>
                    <w:lang w:val="fr-FR"/>
                  </w:rPr>
                </w:pPr>
                <w:r w:rsidRPr="08DC2603">
                  <w:rPr>
                    <w:color w:val="auto"/>
                    <w:sz w:val="24"/>
                    <w:szCs w:val="24"/>
                    <w:lang w:val="fr-FR"/>
                  </w:rPr>
                  <w:t>Un appui de construction et de réhabilitons des écoles, des salles de classe et des latrines dans les zones où NRC a des activités éducatives</w:t>
                </w:r>
              </w:p>
              <w:p w14:paraId="33A3677A" w14:textId="30C2C37A" w:rsidR="001D7112" w:rsidRPr="005E5A6E" w:rsidRDefault="00F63F44" w:rsidP="005E5A6E">
                <w:pPr>
                  <w:pStyle w:val="ListParagraph"/>
                  <w:numPr>
                    <w:ilvl w:val="0"/>
                    <w:numId w:val="44"/>
                  </w:numPr>
                  <w:spacing w:after="200" w:line="276" w:lineRule="auto"/>
                  <w:contextualSpacing/>
                  <w:jc w:val="both"/>
                  <w:rPr>
                    <w:color w:val="auto"/>
                    <w:sz w:val="24"/>
                    <w:szCs w:val="24"/>
                    <w:lang w:val="fr-FR"/>
                  </w:rPr>
                </w:pPr>
                <w:r>
                  <w:rPr>
                    <w:color w:val="auto"/>
                    <w:sz w:val="24"/>
                    <w:szCs w:val="24"/>
                    <w:lang w:val="fr-FR"/>
                  </w:rPr>
                  <w:t>Un appui avec les activités d’eau, d’hygiène et de l’assainissement dans les zones de retour ou de dép</w:t>
                </w:r>
                <w:r w:rsidR="00237B71">
                  <w:rPr>
                    <w:color w:val="auto"/>
                    <w:sz w:val="24"/>
                    <w:szCs w:val="24"/>
                    <w:lang w:val="fr-FR"/>
                  </w:rPr>
                  <w:t>lacements</w:t>
                </w:r>
              </w:p>
              <w:p w14:paraId="473D7EB1" w14:textId="74C48A56" w:rsidR="008A1F64" w:rsidRPr="009313D3" w:rsidRDefault="008A1F64" w:rsidP="008A1F64">
                <w:pPr>
                  <w:spacing w:after="200" w:line="276" w:lineRule="auto"/>
                  <w:contextualSpacing/>
                  <w:jc w:val="both"/>
                  <w:rPr>
                    <w:b/>
                    <w:color w:val="auto"/>
                    <w:sz w:val="24"/>
                    <w:szCs w:val="24"/>
                    <w:lang w:val="fr-FR"/>
                  </w:rPr>
                </w:pPr>
                <w:r w:rsidRPr="009313D3">
                  <w:rPr>
                    <w:b/>
                    <w:color w:val="auto"/>
                    <w:sz w:val="24"/>
                    <w:szCs w:val="24"/>
                    <w:lang w:val="fr-FR"/>
                  </w:rPr>
                  <w:t>Information, conseil et assistance juridique</w:t>
                </w:r>
                <w:r w:rsidR="001D7112" w:rsidRPr="009313D3">
                  <w:rPr>
                    <w:b/>
                    <w:color w:val="auto"/>
                    <w:sz w:val="24"/>
                    <w:szCs w:val="24"/>
                    <w:lang w:val="fr-FR"/>
                  </w:rPr>
                  <w:t xml:space="preserve"> (ICLA)</w:t>
                </w:r>
              </w:p>
              <w:p w14:paraId="17C4C409" w14:textId="42DBA790" w:rsidR="00065ECE" w:rsidRPr="009313D3" w:rsidRDefault="001D7112" w:rsidP="001D7112">
                <w:pPr>
                  <w:spacing w:after="200" w:line="276" w:lineRule="auto"/>
                  <w:contextualSpacing/>
                  <w:jc w:val="both"/>
                  <w:rPr>
                    <w:color w:val="auto"/>
                    <w:sz w:val="24"/>
                    <w:szCs w:val="24"/>
                    <w:lang w:val="fr-FR"/>
                  </w:rPr>
                </w:pPr>
                <w:r w:rsidRPr="009313D3">
                  <w:rPr>
                    <w:color w:val="auto"/>
                    <w:sz w:val="24"/>
                    <w:szCs w:val="24"/>
                    <w:lang w:val="fr-FR"/>
                  </w:rPr>
                  <w:t xml:space="preserve">ICLA </w:t>
                </w:r>
                <w:r w:rsidR="00065ECE" w:rsidRPr="009313D3">
                  <w:rPr>
                    <w:color w:val="auto"/>
                    <w:sz w:val="24"/>
                    <w:szCs w:val="24"/>
                    <w:lang w:val="fr-FR"/>
                  </w:rPr>
                  <w:t xml:space="preserve">vise </w:t>
                </w:r>
                <w:r w:rsidR="00BC3634">
                  <w:rPr>
                    <w:color w:val="auto"/>
                    <w:sz w:val="24"/>
                    <w:szCs w:val="24"/>
                    <w:lang w:val="fr-FR"/>
                  </w:rPr>
                  <w:t>faciliter</w:t>
                </w:r>
                <w:r w:rsidR="00065ECE" w:rsidRPr="009313D3">
                  <w:rPr>
                    <w:color w:val="auto"/>
                    <w:sz w:val="24"/>
                    <w:szCs w:val="24"/>
                    <w:lang w:val="fr-FR"/>
                  </w:rPr>
                  <w:t xml:space="preserve"> l’accès légal aux droits à l’identité (documentation civile : carte d’identité, actes de naissance.) et aux logements, terres et propriétés (LTP)</w:t>
                </w:r>
                <w:r w:rsidR="00BC3634">
                  <w:rPr>
                    <w:color w:val="auto"/>
                    <w:sz w:val="24"/>
                    <w:szCs w:val="24"/>
                    <w:lang w:val="fr-FR"/>
                  </w:rPr>
                  <w:t xml:space="preserve"> des personnes affectées par le déplacement</w:t>
                </w:r>
                <w:r w:rsidR="00065ECE" w:rsidRPr="009313D3">
                  <w:rPr>
                    <w:color w:val="auto"/>
                    <w:sz w:val="24"/>
                    <w:szCs w:val="24"/>
                    <w:lang w:val="fr-FR"/>
                  </w:rPr>
                  <w:t>.</w:t>
                </w:r>
                <w:r w:rsidR="00BC3634">
                  <w:rPr>
                    <w:color w:val="auto"/>
                    <w:sz w:val="24"/>
                    <w:szCs w:val="24"/>
                    <w:lang w:val="fr-FR"/>
                  </w:rPr>
                  <w:t xml:space="preserve"> NRC fournit une assistance dans ce sens sous forme de </w:t>
                </w:r>
                <w:r w:rsidR="00065ECE" w:rsidRPr="009313D3">
                  <w:rPr>
                    <w:color w:val="auto"/>
                    <w:sz w:val="24"/>
                    <w:szCs w:val="24"/>
                    <w:lang w:val="fr-FR"/>
                  </w:rPr>
                  <w:t>:</w:t>
                </w:r>
              </w:p>
              <w:p w14:paraId="36E8665D" w14:textId="7FB81A1F" w:rsidR="00065ECE" w:rsidRPr="009313D3" w:rsidRDefault="00BC3634" w:rsidP="007E0F48">
                <w:pPr>
                  <w:pStyle w:val="ListParagraph"/>
                  <w:numPr>
                    <w:ilvl w:val="0"/>
                    <w:numId w:val="25"/>
                  </w:numPr>
                  <w:spacing w:after="200" w:line="276" w:lineRule="auto"/>
                  <w:contextualSpacing/>
                  <w:jc w:val="both"/>
                  <w:rPr>
                    <w:color w:val="auto"/>
                    <w:sz w:val="24"/>
                    <w:szCs w:val="24"/>
                    <w:lang w:val="fr-FR"/>
                  </w:rPr>
                </w:pPr>
                <w:r>
                  <w:rPr>
                    <w:color w:val="auto"/>
                    <w:sz w:val="24"/>
                    <w:szCs w:val="24"/>
                    <w:lang w:val="fr-FR"/>
                  </w:rPr>
                  <w:t>S</w:t>
                </w:r>
                <w:r w:rsidR="00065ECE" w:rsidRPr="009313D3">
                  <w:rPr>
                    <w:color w:val="auto"/>
                    <w:sz w:val="24"/>
                    <w:szCs w:val="24"/>
                    <w:lang w:val="fr-FR"/>
                  </w:rPr>
                  <w:t>ensibilisation</w:t>
                </w:r>
                <w:r>
                  <w:rPr>
                    <w:color w:val="auto"/>
                    <w:sz w:val="24"/>
                    <w:szCs w:val="24"/>
                    <w:lang w:val="fr-FR"/>
                  </w:rPr>
                  <w:t>s</w:t>
                </w:r>
                <w:r w:rsidR="00065ECE" w:rsidRPr="009313D3">
                  <w:rPr>
                    <w:color w:val="auto"/>
                    <w:sz w:val="24"/>
                    <w:szCs w:val="24"/>
                    <w:lang w:val="fr-FR"/>
                  </w:rPr>
                  <w:t xml:space="preserve"> sur la documentation civile</w:t>
                </w:r>
              </w:p>
              <w:p w14:paraId="3E02F4E8" w14:textId="289E7826" w:rsidR="00065ECE" w:rsidRPr="009313D3" w:rsidRDefault="00BC3634" w:rsidP="007E0F48">
                <w:pPr>
                  <w:pStyle w:val="ListParagraph"/>
                  <w:numPr>
                    <w:ilvl w:val="0"/>
                    <w:numId w:val="25"/>
                  </w:numPr>
                  <w:spacing w:after="200" w:line="276" w:lineRule="auto"/>
                  <w:contextualSpacing/>
                  <w:jc w:val="both"/>
                  <w:rPr>
                    <w:color w:val="auto"/>
                    <w:sz w:val="24"/>
                    <w:szCs w:val="24"/>
                    <w:lang w:val="fr-FR"/>
                  </w:rPr>
                </w:pPr>
                <w:r>
                  <w:rPr>
                    <w:color w:val="auto"/>
                    <w:sz w:val="24"/>
                    <w:szCs w:val="24"/>
                    <w:lang w:val="fr-FR"/>
                  </w:rPr>
                  <w:t>A</w:t>
                </w:r>
                <w:r w:rsidR="00065ECE" w:rsidRPr="009313D3">
                  <w:rPr>
                    <w:color w:val="auto"/>
                    <w:sz w:val="24"/>
                    <w:szCs w:val="24"/>
                    <w:lang w:val="fr-FR"/>
                  </w:rPr>
                  <w:t>ssistance juridique directe</w:t>
                </w:r>
                <w:r>
                  <w:rPr>
                    <w:color w:val="auto"/>
                    <w:sz w:val="24"/>
                    <w:szCs w:val="24"/>
                    <w:lang w:val="fr-FR"/>
                  </w:rPr>
                  <w:t xml:space="preserve">, y inclus </w:t>
                </w:r>
                <w:r w:rsidR="00065ECE" w:rsidRPr="009313D3">
                  <w:rPr>
                    <w:color w:val="auto"/>
                    <w:sz w:val="24"/>
                    <w:szCs w:val="24"/>
                    <w:lang w:val="fr-FR"/>
                  </w:rPr>
                  <w:t xml:space="preserve">la prise en charge des frais </w:t>
                </w:r>
                <w:r>
                  <w:rPr>
                    <w:color w:val="auto"/>
                    <w:sz w:val="24"/>
                    <w:szCs w:val="24"/>
                    <w:lang w:val="fr-FR"/>
                  </w:rPr>
                  <w:t xml:space="preserve">d’obtention </w:t>
                </w:r>
                <w:r w:rsidR="00065ECE" w:rsidRPr="009313D3">
                  <w:rPr>
                    <w:color w:val="auto"/>
                    <w:sz w:val="24"/>
                    <w:szCs w:val="24"/>
                    <w:lang w:val="fr-FR"/>
                  </w:rPr>
                  <w:t>des documents civils : carte d’identité nationale, acte de naissance, documents fonciers</w:t>
                </w:r>
              </w:p>
              <w:p w14:paraId="2F07154C" w14:textId="627423DE" w:rsidR="00065ECE" w:rsidRPr="009313D3" w:rsidRDefault="00BC3634" w:rsidP="007E0F48">
                <w:pPr>
                  <w:pStyle w:val="ListParagraph"/>
                  <w:numPr>
                    <w:ilvl w:val="0"/>
                    <w:numId w:val="25"/>
                  </w:numPr>
                  <w:spacing w:after="200" w:line="276" w:lineRule="auto"/>
                  <w:contextualSpacing/>
                  <w:jc w:val="both"/>
                  <w:rPr>
                    <w:color w:val="auto"/>
                    <w:sz w:val="24"/>
                    <w:szCs w:val="24"/>
                    <w:lang w:val="fr-FR"/>
                  </w:rPr>
                </w:pPr>
                <w:r>
                  <w:rPr>
                    <w:color w:val="auto"/>
                    <w:sz w:val="24"/>
                    <w:szCs w:val="24"/>
                    <w:lang w:val="fr-FR"/>
                  </w:rPr>
                  <w:t>S</w:t>
                </w:r>
                <w:r w:rsidR="00065ECE" w:rsidRPr="009313D3">
                  <w:rPr>
                    <w:color w:val="auto"/>
                    <w:sz w:val="24"/>
                    <w:szCs w:val="24"/>
                    <w:lang w:val="fr-FR"/>
                  </w:rPr>
                  <w:t>ervices d’information et de conseils individuels sur les droits liés aux documents et leurs accès</w:t>
                </w:r>
              </w:p>
              <w:p w14:paraId="772A1949" w14:textId="1C90E23A" w:rsidR="00065ECE" w:rsidRPr="009313D3" w:rsidRDefault="00BC3634" w:rsidP="007E0F48">
                <w:pPr>
                  <w:pStyle w:val="ListParagraph"/>
                  <w:numPr>
                    <w:ilvl w:val="0"/>
                    <w:numId w:val="25"/>
                  </w:numPr>
                  <w:spacing w:after="200" w:line="276" w:lineRule="auto"/>
                  <w:contextualSpacing/>
                  <w:jc w:val="both"/>
                  <w:rPr>
                    <w:color w:val="auto"/>
                    <w:sz w:val="24"/>
                    <w:szCs w:val="24"/>
                    <w:lang w:val="fr-FR"/>
                  </w:rPr>
                </w:pPr>
                <w:r>
                  <w:rPr>
                    <w:color w:val="auto"/>
                    <w:sz w:val="24"/>
                    <w:szCs w:val="24"/>
                    <w:lang w:val="fr-FR"/>
                  </w:rPr>
                  <w:t>R</w:t>
                </w:r>
                <w:r w:rsidR="00065ECE" w:rsidRPr="009313D3">
                  <w:rPr>
                    <w:color w:val="auto"/>
                    <w:sz w:val="24"/>
                    <w:szCs w:val="24"/>
                    <w:lang w:val="fr-FR"/>
                  </w:rPr>
                  <w:t>enforcement des capacités des acteurs de la documentation civile</w:t>
                </w:r>
                <w:r w:rsidR="00BC546B">
                  <w:rPr>
                    <w:color w:val="auto"/>
                    <w:sz w:val="24"/>
                    <w:szCs w:val="24"/>
                    <w:lang w:val="fr-FR"/>
                  </w:rPr>
                  <w:t xml:space="preserve"> et de ceux du foncier</w:t>
                </w:r>
              </w:p>
              <w:p w14:paraId="16E65AFF" w14:textId="252EC66F" w:rsidR="00065ECE" w:rsidRPr="009313D3" w:rsidRDefault="00BC546B" w:rsidP="007E0F48">
                <w:pPr>
                  <w:pStyle w:val="ListParagraph"/>
                  <w:numPr>
                    <w:ilvl w:val="0"/>
                    <w:numId w:val="25"/>
                  </w:numPr>
                  <w:spacing w:after="200" w:line="276" w:lineRule="auto"/>
                  <w:contextualSpacing/>
                  <w:jc w:val="both"/>
                  <w:rPr>
                    <w:color w:val="auto"/>
                    <w:sz w:val="24"/>
                    <w:szCs w:val="24"/>
                    <w:lang w:val="fr-FR"/>
                  </w:rPr>
                </w:pPr>
                <w:r>
                  <w:rPr>
                    <w:color w:val="auto"/>
                    <w:sz w:val="24"/>
                    <w:szCs w:val="24"/>
                    <w:lang w:val="fr-FR"/>
                  </w:rPr>
                  <w:t xml:space="preserve">Appui en </w:t>
                </w:r>
                <w:r w:rsidR="00065ECE" w:rsidRPr="009313D3">
                  <w:rPr>
                    <w:color w:val="auto"/>
                    <w:sz w:val="24"/>
                    <w:szCs w:val="24"/>
                    <w:lang w:val="fr-FR"/>
                  </w:rPr>
                  <w:t>matériels et équipements aux structures de délivrance de la documentation civile</w:t>
                </w:r>
              </w:p>
              <w:p w14:paraId="06EF0F28" w14:textId="063CEFF6" w:rsidR="00065ECE" w:rsidRPr="009313D3" w:rsidRDefault="00BC3634" w:rsidP="007E0F48">
                <w:pPr>
                  <w:pStyle w:val="ListParagraph"/>
                  <w:numPr>
                    <w:ilvl w:val="0"/>
                    <w:numId w:val="25"/>
                  </w:numPr>
                  <w:spacing w:after="200" w:line="276" w:lineRule="auto"/>
                  <w:contextualSpacing/>
                  <w:jc w:val="both"/>
                  <w:rPr>
                    <w:color w:val="auto"/>
                    <w:sz w:val="24"/>
                    <w:szCs w:val="24"/>
                    <w:lang w:val="fr-FR"/>
                  </w:rPr>
                </w:pPr>
                <w:r>
                  <w:rPr>
                    <w:color w:val="auto"/>
                    <w:sz w:val="24"/>
                    <w:szCs w:val="24"/>
                    <w:lang w:val="fr-FR"/>
                  </w:rPr>
                  <w:t>P</w:t>
                </w:r>
                <w:r w:rsidR="00065ECE" w:rsidRPr="009313D3">
                  <w:rPr>
                    <w:color w:val="auto"/>
                    <w:sz w:val="24"/>
                    <w:szCs w:val="24"/>
                    <w:lang w:val="fr-FR"/>
                  </w:rPr>
                  <w:t xml:space="preserve">laidoyer en vue de la promotion des droits </w:t>
                </w:r>
                <w:r w:rsidRPr="009313D3">
                  <w:rPr>
                    <w:color w:val="auto"/>
                    <w:sz w:val="24"/>
                    <w:szCs w:val="24"/>
                    <w:lang w:val="fr-FR"/>
                  </w:rPr>
                  <w:t>relati</w:t>
                </w:r>
                <w:r>
                  <w:rPr>
                    <w:color w:val="auto"/>
                    <w:sz w:val="24"/>
                    <w:szCs w:val="24"/>
                    <w:lang w:val="fr-FR"/>
                  </w:rPr>
                  <w:t>fs</w:t>
                </w:r>
                <w:r w:rsidRPr="009313D3">
                  <w:rPr>
                    <w:color w:val="auto"/>
                    <w:sz w:val="24"/>
                    <w:szCs w:val="24"/>
                    <w:lang w:val="fr-FR"/>
                  </w:rPr>
                  <w:t xml:space="preserve"> </w:t>
                </w:r>
                <w:r w:rsidR="00065ECE" w:rsidRPr="009313D3">
                  <w:rPr>
                    <w:color w:val="auto"/>
                    <w:sz w:val="24"/>
                    <w:szCs w:val="24"/>
                    <w:lang w:val="fr-FR"/>
                  </w:rPr>
                  <w:t xml:space="preserve">à la documentation civile et </w:t>
                </w:r>
                <w:r w:rsidR="00BC546B">
                  <w:rPr>
                    <w:color w:val="auto"/>
                    <w:sz w:val="24"/>
                    <w:szCs w:val="24"/>
                    <w:lang w:val="fr-FR"/>
                  </w:rPr>
                  <w:t>aux L</w:t>
                </w:r>
                <w:r w:rsidR="00065ECE" w:rsidRPr="009313D3">
                  <w:rPr>
                    <w:color w:val="auto"/>
                    <w:sz w:val="24"/>
                    <w:szCs w:val="24"/>
                    <w:lang w:val="fr-FR"/>
                  </w:rPr>
                  <w:t xml:space="preserve">ogements, </w:t>
                </w:r>
                <w:r w:rsidR="00BC546B">
                  <w:rPr>
                    <w:color w:val="auto"/>
                    <w:sz w:val="24"/>
                    <w:szCs w:val="24"/>
                    <w:lang w:val="fr-FR"/>
                  </w:rPr>
                  <w:t>T</w:t>
                </w:r>
                <w:r w:rsidR="00065ECE" w:rsidRPr="009313D3">
                  <w:rPr>
                    <w:color w:val="auto"/>
                    <w:sz w:val="24"/>
                    <w:szCs w:val="24"/>
                    <w:lang w:val="fr-FR"/>
                  </w:rPr>
                  <w:t xml:space="preserve">erres et </w:t>
                </w:r>
                <w:r w:rsidR="00BC546B">
                  <w:rPr>
                    <w:color w:val="auto"/>
                    <w:sz w:val="24"/>
                    <w:szCs w:val="24"/>
                    <w:lang w:val="fr-FR"/>
                  </w:rPr>
                  <w:t>P</w:t>
                </w:r>
                <w:r w:rsidR="00065ECE" w:rsidRPr="009313D3">
                  <w:rPr>
                    <w:color w:val="auto"/>
                    <w:sz w:val="24"/>
                    <w:szCs w:val="24"/>
                    <w:lang w:val="fr-FR"/>
                  </w:rPr>
                  <w:t>ropriétés (LTP)</w:t>
                </w:r>
                <w:r>
                  <w:rPr>
                    <w:color w:val="auto"/>
                    <w:sz w:val="24"/>
                    <w:szCs w:val="24"/>
                    <w:lang w:val="fr-FR"/>
                  </w:rPr>
                  <w:t>.</w:t>
                </w:r>
              </w:p>
              <w:p w14:paraId="457A77F2" w14:textId="2AC0F282" w:rsidR="008A1F64" w:rsidRPr="009313D3" w:rsidRDefault="008A1F64" w:rsidP="008A1F64">
                <w:pPr>
                  <w:spacing w:after="200" w:line="276" w:lineRule="auto"/>
                  <w:contextualSpacing/>
                  <w:jc w:val="both"/>
                  <w:rPr>
                    <w:b/>
                    <w:color w:val="auto"/>
                    <w:sz w:val="24"/>
                    <w:szCs w:val="24"/>
                    <w:lang w:val="fr-FR"/>
                  </w:rPr>
                </w:pPr>
                <w:r w:rsidRPr="009313D3">
                  <w:rPr>
                    <w:b/>
                    <w:color w:val="auto"/>
                    <w:sz w:val="24"/>
                    <w:szCs w:val="24"/>
                    <w:lang w:val="fr-FR"/>
                  </w:rPr>
                  <w:t>Sécurité alimentaire et moyens de subsistance</w:t>
                </w:r>
                <w:r w:rsidR="000F49D1" w:rsidRPr="009313D3">
                  <w:rPr>
                    <w:b/>
                    <w:color w:val="auto"/>
                    <w:sz w:val="24"/>
                    <w:szCs w:val="24"/>
                    <w:lang w:val="fr-FR"/>
                  </w:rPr>
                  <w:t xml:space="preserve"> (SAME/LFS)</w:t>
                </w:r>
              </w:p>
              <w:p w14:paraId="7A30AD2D" w14:textId="6ACE5C93" w:rsidR="00065ECE" w:rsidRPr="009313D3" w:rsidRDefault="000F49D1" w:rsidP="000F49D1">
                <w:pPr>
                  <w:spacing w:after="200" w:line="276" w:lineRule="auto"/>
                  <w:contextualSpacing/>
                  <w:jc w:val="both"/>
                  <w:rPr>
                    <w:color w:val="auto"/>
                    <w:sz w:val="24"/>
                    <w:szCs w:val="24"/>
                    <w:lang w:val="fr-FR"/>
                  </w:rPr>
                </w:pPr>
                <w:r w:rsidRPr="009313D3">
                  <w:rPr>
                    <w:color w:val="auto"/>
                    <w:sz w:val="24"/>
                    <w:szCs w:val="24"/>
                    <w:lang w:val="fr-FR"/>
                  </w:rPr>
                  <w:t xml:space="preserve">SAME </w:t>
                </w:r>
                <w:r w:rsidR="00DB5124">
                  <w:rPr>
                    <w:color w:val="auto"/>
                    <w:sz w:val="24"/>
                    <w:szCs w:val="24"/>
                    <w:lang w:val="fr-FR"/>
                  </w:rPr>
                  <w:t>vise</w:t>
                </w:r>
                <w:r w:rsidR="00DB5124" w:rsidRPr="009313D3">
                  <w:rPr>
                    <w:color w:val="auto"/>
                    <w:sz w:val="24"/>
                    <w:szCs w:val="24"/>
                    <w:lang w:val="fr-FR"/>
                  </w:rPr>
                  <w:t xml:space="preserve"> </w:t>
                </w:r>
                <w:r w:rsidRPr="009313D3">
                  <w:rPr>
                    <w:color w:val="auto"/>
                    <w:sz w:val="24"/>
                    <w:szCs w:val="24"/>
                    <w:lang w:val="fr-FR"/>
                  </w:rPr>
                  <w:t>à renforcer le bien-être social, environnemental et économique des personnes vulnérables touchées par la crise. Ceci est matérialisé à travers :</w:t>
                </w:r>
              </w:p>
              <w:p w14:paraId="31453178" w14:textId="77777777" w:rsidR="00FB2C67" w:rsidRPr="009313D3" w:rsidRDefault="00FB2C67" w:rsidP="007E0F48">
                <w:pPr>
                  <w:pStyle w:val="ListParagraph"/>
                  <w:numPr>
                    <w:ilvl w:val="0"/>
                    <w:numId w:val="27"/>
                  </w:numPr>
                  <w:spacing w:after="200" w:line="276" w:lineRule="auto"/>
                  <w:contextualSpacing/>
                  <w:jc w:val="both"/>
                  <w:rPr>
                    <w:color w:val="auto"/>
                    <w:sz w:val="24"/>
                    <w:szCs w:val="24"/>
                    <w:lang w:val="fr-FR"/>
                  </w:rPr>
                </w:pPr>
                <w:r w:rsidRPr="009313D3">
                  <w:rPr>
                    <w:color w:val="auto"/>
                    <w:sz w:val="24"/>
                    <w:szCs w:val="24"/>
                    <w:lang w:val="fr-FR"/>
                  </w:rPr>
                  <w:t>La mise en place et suivi des Associations Villageoises d’Épargne et de Crédits (AVEC)</w:t>
                </w:r>
              </w:p>
              <w:p w14:paraId="4058601E" w14:textId="77777777" w:rsidR="00FB2C67" w:rsidRPr="009313D3" w:rsidRDefault="00FB2C67" w:rsidP="007E0F48">
                <w:pPr>
                  <w:pStyle w:val="ListParagraph"/>
                  <w:numPr>
                    <w:ilvl w:val="0"/>
                    <w:numId w:val="27"/>
                  </w:numPr>
                  <w:spacing w:after="200" w:line="276" w:lineRule="auto"/>
                  <w:contextualSpacing/>
                  <w:jc w:val="both"/>
                  <w:rPr>
                    <w:color w:val="auto"/>
                    <w:sz w:val="24"/>
                    <w:szCs w:val="24"/>
                    <w:lang w:val="fr-FR"/>
                  </w:rPr>
                </w:pPr>
                <w:r w:rsidRPr="009313D3">
                  <w:rPr>
                    <w:color w:val="auto"/>
                    <w:sz w:val="24"/>
                    <w:szCs w:val="24"/>
                    <w:lang w:val="fr-FR"/>
                  </w:rPr>
                  <w:t>La construction et dotation de magasins de stock alimentaire (30 tonnes), appelés Banques de Céréales (BC)</w:t>
                </w:r>
              </w:p>
              <w:p w14:paraId="628E4BB6" w14:textId="77777777" w:rsidR="00FB2C67" w:rsidRPr="009313D3" w:rsidRDefault="00FB2C67" w:rsidP="007E0F48">
                <w:pPr>
                  <w:pStyle w:val="ListParagraph"/>
                  <w:numPr>
                    <w:ilvl w:val="0"/>
                    <w:numId w:val="27"/>
                  </w:numPr>
                  <w:spacing w:after="200" w:line="276" w:lineRule="auto"/>
                  <w:contextualSpacing/>
                  <w:jc w:val="both"/>
                  <w:rPr>
                    <w:color w:val="auto"/>
                    <w:sz w:val="24"/>
                    <w:szCs w:val="24"/>
                    <w:lang w:val="fr-FR"/>
                  </w:rPr>
                </w:pPr>
                <w:r w:rsidRPr="009313D3">
                  <w:rPr>
                    <w:color w:val="auto"/>
                    <w:sz w:val="24"/>
                    <w:szCs w:val="24"/>
                    <w:lang w:val="fr-FR"/>
                  </w:rPr>
                  <w:t>L’aménagement et l’équipement de sites maraichers</w:t>
                </w:r>
              </w:p>
              <w:p w14:paraId="546958D8" w14:textId="09C253B0" w:rsidR="00FB2C67" w:rsidRDefault="00FB2C67" w:rsidP="007E0F48">
                <w:pPr>
                  <w:pStyle w:val="ListParagraph"/>
                  <w:numPr>
                    <w:ilvl w:val="0"/>
                    <w:numId w:val="27"/>
                  </w:numPr>
                  <w:spacing w:after="200" w:line="276" w:lineRule="auto"/>
                  <w:contextualSpacing/>
                  <w:jc w:val="both"/>
                  <w:rPr>
                    <w:color w:val="auto"/>
                    <w:sz w:val="24"/>
                    <w:szCs w:val="24"/>
                    <w:lang w:val="fr-FR"/>
                  </w:rPr>
                </w:pPr>
                <w:r w:rsidRPr="009313D3">
                  <w:rPr>
                    <w:color w:val="auto"/>
                    <w:sz w:val="24"/>
                    <w:szCs w:val="24"/>
                    <w:lang w:val="fr-FR"/>
                  </w:rPr>
                  <w:t xml:space="preserve">L’incubation et </w:t>
                </w:r>
                <w:r w:rsidR="00DB5124">
                  <w:rPr>
                    <w:color w:val="auto"/>
                    <w:sz w:val="24"/>
                    <w:szCs w:val="24"/>
                    <w:lang w:val="fr-FR"/>
                  </w:rPr>
                  <w:t xml:space="preserve">le </w:t>
                </w:r>
                <w:r w:rsidRPr="009313D3">
                  <w:rPr>
                    <w:color w:val="auto"/>
                    <w:sz w:val="24"/>
                    <w:szCs w:val="24"/>
                    <w:lang w:val="fr-FR"/>
                  </w:rPr>
                  <w:t xml:space="preserve">financement d’Activités Génératrices de </w:t>
                </w:r>
                <w:r w:rsidR="00DB5124">
                  <w:rPr>
                    <w:color w:val="auto"/>
                    <w:sz w:val="24"/>
                    <w:szCs w:val="24"/>
                    <w:lang w:val="fr-FR"/>
                  </w:rPr>
                  <w:t>R</w:t>
                </w:r>
                <w:r w:rsidR="00DB5124" w:rsidRPr="009313D3">
                  <w:rPr>
                    <w:color w:val="auto"/>
                    <w:sz w:val="24"/>
                    <w:szCs w:val="24"/>
                    <w:lang w:val="fr-FR"/>
                  </w:rPr>
                  <w:t>evenu</w:t>
                </w:r>
                <w:r w:rsidR="00DB5124">
                  <w:rPr>
                    <w:color w:val="auto"/>
                    <w:sz w:val="24"/>
                    <w:szCs w:val="24"/>
                    <w:lang w:val="fr-FR"/>
                  </w:rPr>
                  <w:t>s</w:t>
                </w:r>
                <w:r w:rsidR="00DB5124" w:rsidRPr="009313D3">
                  <w:rPr>
                    <w:color w:val="auto"/>
                    <w:sz w:val="24"/>
                    <w:szCs w:val="24"/>
                    <w:lang w:val="fr-FR"/>
                  </w:rPr>
                  <w:t xml:space="preserve"> </w:t>
                </w:r>
                <w:r w:rsidRPr="009313D3">
                  <w:rPr>
                    <w:color w:val="auto"/>
                    <w:sz w:val="24"/>
                    <w:szCs w:val="24"/>
                    <w:lang w:val="fr-FR"/>
                  </w:rPr>
                  <w:t>(AGR)</w:t>
                </w:r>
              </w:p>
              <w:p w14:paraId="7BFF76B3" w14:textId="46A61A72" w:rsidR="00610AD9" w:rsidRPr="009313D3" w:rsidRDefault="00610AD9" w:rsidP="00610AD9">
                <w:pPr>
                  <w:pStyle w:val="ListParagraph"/>
                  <w:numPr>
                    <w:ilvl w:val="0"/>
                    <w:numId w:val="27"/>
                  </w:numPr>
                  <w:spacing w:after="200" w:line="276" w:lineRule="auto"/>
                  <w:contextualSpacing/>
                  <w:jc w:val="both"/>
                  <w:rPr>
                    <w:color w:val="auto"/>
                    <w:sz w:val="24"/>
                    <w:szCs w:val="24"/>
                    <w:lang w:val="fr-FR"/>
                  </w:rPr>
                </w:pPr>
                <w:r>
                  <w:rPr>
                    <w:color w:val="auto"/>
                    <w:sz w:val="24"/>
                    <w:szCs w:val="24"/>
                    <w:lang w:val="fr-FR"/>
                  </w:rPr>
                  <w:t>L’a</w:t>
                </w:r>
                <w:r w:rsidRPr="00610AD9">
                  <w:rPr>
                    <w:color w:val="auto"/>
                    <w:sz w:val="24"/>
                    <w:szCs w:val="24"/>
                    <w:lang w:val="fr-FR"/>
                  </w:rPr>
                  <w:t>ppui à la reconstitution du cheptel à travers l'octroi des noyaux d'animaux et de l'aliment bétail</w:t>
                </w:r>
                <w:r>
                  <w:rPr>
                    <w:color w:val="auto"/>
                    <w:sz w:val="24"/>
                    <w:szCs w:val="24"/>
                    <w:lang w:val="fr-FR"/>
                  </w:rPr>
                  <w:t xml:space="preserve"> pour les ménages éleveurs</w:t>
                </w:r>
              </w:p>
              <w:p w14:paraId="5FD6D20B" w14:textId="68B7CC27" w:rsidR="000F49D1" w:rsidRPr="009313D3" w:rsidRDefault="00FB2C67" w:rsidP="00237B71">
                <w:pPr>
                  <w:pStyle w:val="ListParagraph"/>
                  <w:numPr>
                    <w:ilvl w:val="0"/>
                    <w:numId w:val="27"/>
                  </w:numPr>
                  <w:spacing w:after="200" w:line="276" w:lineRule="auto"/>
                  <w:contextualSpacing/>
                  <w:jc w:val="both"/>
                  <w:rPr>
                    <w:color w:val="auto"/>
                    <w:sz w:val="24"/>
                    <w:szCs w:val="24"/>
                    <w:lang w:val="fr-FR"/>
                  </w:rPr>
                </w:pPr>
                <w:r w:rsidRPr="0A38F48B">
                  <w:rPr>
                    <w:color w:val="auto"/>
                    <w:sz w:val="24"/>
                    <w:szCs w:val="24"/>
                    <w:lang w:val="fr-FR"/>
                  </w:rPr>
                  <w:t xml:space="preserve">Le renforcement des capacités des communautés sur les techniques de production, de conservation, </w:t>
                </w:r>
                <w:r w:rsidR="00DB5124">
                  <w:rPr>
                    <w:color w:val="auto"/>
                    <w:sz w:val="24"/>
                    <w:szCs w:val="24"/>
                    <w:lang w:val="fr-FR"/>
                  </w:rPr>
                  <w:t xml:space="preserve">de </w:t>
                </w:r>
                <w:r w:rsidRPr="0A38F48B">
                  <w:rPr>
                    <w:color w:val="auto"/>
                    <w:sz w:val="24"/>
                    <w:szCs w:val="24"/>
                    <w:lang w:val="fr-FR"/>
                  </w:rPr>
                  <w:t xml:space="preserve">transformation </w:t>
                </w:r>
                <w:r w:rsidR="00237B71">
                  <w:rPr>
                    <w:color w:val="auto"/>
                    <w:sz w:val="24"/>
                    <w:szCs w:val="24"/>
                    <w:lang w:val="fr-FR"/>
                  </w:rPr>
                  <w:t xml:space="preserve">(séchage) </w:t>
                </w:r>
                <w:r w:rsidRPr="0A38F48B">
                  <w:rPr>
                    <w:color w:val="auto"/>
                    <w:sz w:val="24"/>
                    <w:szCs w:val="24"/>
                    <w:lang w:val="fr-FR"/>
                  </w:rPr>
                  <w:t>et de commercialisation</w:t>
                </w:r>
                <w:r w:rsidR="00237B71">
                  <w:rPr>
                    <w:color w:val="auto"/>
                    <w:sz w:val="24"/>
                    <w:szCs w:val="24"/>
                    <w:lang w:val="fr-FR"/>
                  </w:rPr>
                  <w:t xml:space="preserve"> (</w:t>
                </w:r>
                <w:r w:rsidR="00237B71">
                  <w:rPr>
                    <w:lang w:val="fr-FR"/>
                  </w:rPr>
                  <w:t>a</w:t>
                </w:r>
                <w:r w:rsidR="00237B71" w:rsidRPr="00237B71">
                  <w:rPr>
                    <w:lang w:val="fr-FR"/>
                  </w:rPr>
                  <w:t>nalyse</w:t>
                </w:r>
                <w:r w:rsidR="00237B71" w:rsidRPr="00237B71">
                  <w:rPr>
                    <w:color w:val="auto"/>
                    <w:sz w:val="24"/>
                    <w:szCs w:val="24"/>
                    <w:lang w:val="fr-FR"/>
                  </w:rPr>
                  <w:t xml:space="preserve"> des marchés pour une meilleure commercialisation des produits</w:t>
                </w:r>
                <w:r w:rsidR="00237B71">
                  <w:rPr>
                    <w:color w:val="auto"/>
                    <w:sz w:val="24"/>
                    <w:szCs w:val="24"/>
                    <w:lang w:val="fr-FR"/>
                  </w:rPr>
                  <w:t xml:space="preserve"> à travers la </w:t>
                </w:r>
                <w:r w:rsidR="00237B71" w:rsidRPr="00237B71">
                  <w:rPr>
                    <w:color w:val="auto"/>
                    <w:sz w:val="24"/>
                    <w:szCs w:val="24"/>
                    <w:lang w:val="fr-FR"/>
                  </w:rPr>
                  <w:t>chaine des valeurs ajoutées</w:t>
                </w:r>
                <w:r w:rsidR="00237B71">
                  <w:rPr>
                    <w:color w:val="auto"/>
                    <w:sz w:val="24"/>
                    <w:szCs w:val="24"/>
                    <w:lang w:val="fr-FR"/>
                  </w:rPr>
                  <w:t>, m</w:t>
                </w:r>
                <w:r w:rsidR="00237B71" w:rsidRPr="00237B71">
                  <w:rPr>
                    <w:color w:val="auto"/>
                    <w:sz w:val="24"/>
                    <w:szCs w:val="24"/>
                    <w:lang w:val="fr-FR"/>
                  </w:rPr>
                  <w:t>ise en relation des producteurs et les vendeurs</w:t>
                </w:r>
                <w:r w:rsidR="00237B71">
                  <w:rPr>
                    <w:color w:val="auto"/>
                    <w:sz w:val="24"/>
                    <w:szCs w:val="24"/>
                    <w:lang w:val="fr-FR"/>
                  </w:rPr>
                  <w:t>)</w:t>
                </w:r>
                <w:r w:rsidRPr="0A38F48B">
                  <w:rPr>
                    <w:color w:val="auto"/>
                    <w:sz w:val="24"/>
                    <w:szCs w:val="24"/>
                    <w:lang w:val="fr-FR"/>
                  </w:rPr>
                  <w:t>.</w:t>
                </w:r>
              </w:p>
              <w:p w14:paraId="6275D509" w14:textId="538CAA6D" w:rsidR="008A1F64" w:rsidRPr="009313D3" w:rsidRDefault="008A1F64" w:rsidP="008A1F64">
                <w:pPr>
                  <w:spacing w:after="200" w:line="276" w:lineRule="auto"/>
                  <w:contextualSpacing/>
                  <w:jc w:val="both"/>
                  <w:rPr>
                    <w:b/>
                    <w:color w:val="auto"/>
                    <w:sz w:val="24"/>
                    <w:szCs w:val="24"/>
                    <w:lang w:val="fr-FR"/>
                  </w:rPr>
                </w:pPr>
                <w:r w:rsidRPr="009313D3">
                  <w:rPr>
                    <w:b/>
                    <w:color w:val="auto"/>
                    <w:sz w:val="24"/>
                    <w:szCs w:val="24"/>
                    <w:lang w:val="fr-FR"/>
                  </w:rPr>
                  <w:t>Protection et médiation humanitaire</w:t>
                </w:r>
              </w:p>
              <w:p w14:paraId="5672F302" w14:textId="53F97C23" w:rsidR="00065ECE" w:rsidRPr="009313D3" w:rsidRDefault="00FB2C67" w:rsidP="00FB2C67">
                <w:pPr>
                  <w:spacing w:after="200" w:line="276" w:lineRule="auto"/>
                  <w:contextualSpacing/>
                  <w:jc w:val="both"/>
                  <w:rPr>
                    <w:color w:val="auto"/>
                    <w:sz w:val="24"/>
                    <w:szCs w:val="24"/>
                    <w:lang w:val="fr-FR"/>
                  </w:rPr>
                </w:pPr>
                <w:r w:rsidRPr="009313D3">
                  <w:rPr>
                    <w:color w:val="auto"/>
                    <w:sz w:val="24"/>
                    <w:szCs w:val="24"/>
                    <w:lang w:val="fr-FR"/>
                  </w:rPr>
                  <w:lastRenderedPageBreak/>
                  <w:t>La protection et médiation humanitaire vise à renforcer l’environnement de protection des personnes affectées par les conflits/crises. Ceci est accompli grâce :</w:t>
                </w:r>
              </w:p>
              <w:p w14:paraId="2DDE2E49" w14:textId="0FC5581E" w:rsidR="00FB2C67" w:rsidRPr="009313D3" w:rsidRDefault="00FB2C67" w:rsidP="00FB2C67">
                <w:pPr>
                  <w:pStyle w:val="ListParagraph"/>
                  <w:numPr>
                    <w:ilvl w:val="0"/>
                    <w:numId w:val="28"/>
                  </w:numPr>
                  <w:spacing w:after="200" w:line="276" w:lineRule="auto"/>
                  <w:contextualSpacing/>
                  <w:jc w:val="both"/>
                  <w:rPr>
                    <w:color w:val="auto"/>
                    <w:sz w:val="24"/>
                    <w:szCs w:val="24"/>
                    <w:lang w:val="fr-FR"/>
                  </w:rPr>
                </w:pPr>
                <w:r w:rsidRPr="009313D3">
                  <w:rPr>
                    <w:color w:val="auto"/>
                    <w:sz w:val="24"/>
                    <w:szCs w:val="24"/>
                    <w:lang w:val="fr-FR"/>
                  </w:rPr>
                  <w:t>Aux évaluations rapides de protection</w:t>
                </w:r>
              </w:p>
              <w:p w14:paraId="5845CDE2" w14:textId="77777777" w:rsidR="00FB2C67" w:rsidRPr="009313D3" w:rsidRDefault="00FB2C67" w:rsidP="007E0F48">
                <w:pPr>
                  <w:pStyle w:val="ListParagraph"/>
                  <w:numPr>
                    <w:ilvl w:val="0"/>
                    <w:numId w:val="28"/>
                  </w:numPr>
                  <w:spacing w:after="200" w:line="276" w:lineRule="auto"/>
                  <w:contextualSpacing/>
                  <w:jc w:val="both"/>
                  <w:rPr>
                    <w:color w:val="auto"/>
                    <w:sz w:val="24"/>
                    <w:szCs w:val="24"/>
                    <w:lang w:val="fr-FR"/>
                  </w:rPr>
                </w:pPr>
                <w:r w:rsidRPr="009313D3">
                  <w:rPr>
                    <w:color w:val="auto"/>
                    <w:sz w:val="24"/>
                    <w:szCs w:val="24"/>
                    <w:lang w:val="fr-FR"/>
                  </w:rPr>
                  <w:t>Aux référencements internes et externes</w:t>
                </w:r>
              </w:p>
              <w:p w14:paraId="47DA33B1" w14:textId="7F114A25" w:rsidR="00FB2C67" w:rsidRPr="009313D3" w:rsidRDefault="00FB2C67" w:rsidP="007E0F48">
                <w:pPr>
                  <w:pStyle w:val="ListParagraph"/>
                  <w:numPr>
                    <w:ilvl w:val="0"/>
                    <w:numId w:val="28"/>
                  </w:numPr>
                  <w:spacing w:after="200" w:line="276" w:lineRule="auto"/>
                  <w:contextualSpacing/>
                  <w:jc w:val="both"/>
                  <w:rPr>
                    <w:color w:val="auto"/>
                    <w:sz w:val="24"/>
                    <w:szCs w:val="24"/>
                    <w:lang w:val="fr-FR"/>
                  </w:rPr>
                </w:pPr>
                <w:r w:rsidRPr="009313D3">
                  <w:rPr>
                    <w:color w:val="auto"/>
                    <w:sz w:val="24"/>
                    <w:szCs w:val="24"/>
                    <w:lang w:val="fr-FR"/>
                  </w:rPr>
                  <w:t>Aux réponses aux besoins spécifiques des populations affectées par un incident de protection (assistance en kits d</w:t>
                </w:r>
                <w:r w:rsidR="008A45D8">
                  <w:rPr>
                    <w:color w:val="auto"/>
                    <w:sz w:val="24"/>
                    <w:szCs w:val="24"/>
                    <w:lang w:val="fr-FR"/>
                  </w:rPr>
                  <w:t>e dignité</w:t>
                </w:r>
                <w:r w:rsidRPr="009313D3">
                  <w:rPr>
                    <w:color w:val="auto"/>
                    <w:sz w:val="24"/>
                    <w:szCs w:val="24"/>
                    <w:lang w:val="fr-FR"/>
                  </w:rPr>
                  <w:t>, en appui psycho-social…)</w:t>
                </w:r>
              </w:p>
              <w:p w14:paraId="64E3FAF9" w14:textId="608F057B" w:rsidR="00FB2C67" w:rsidRPr="009313D3" w:rsidRDefault="00FB2C67" w:rsidP="007E0F48">
                <w:pPr>
                  <w:pStyle w:val="ListParagraph"/>
                  <w:numPr>
                    <w:ilvl w:val="0"/>
                    <w:numId w:val="28"/>
                  </w:numPr>
                  <w:spacing w:after="200" w:line="276" w:lineRule="auto"/>
                  <w:contextualSpacing/>
                  <w:jc w:val="both"/>
                  <w:rPr>
                    <w:color w:val="auto"/>
                    <w:sz w:val="24"/>
                    <w:szCs w:val="24"/>
                    <w:lang w:val="fr-FR"/>
                  </w:rPr>
                </w:pPr>
                <w:r w:rsidRPr="009313D3">
                  <w:rPr>
                    <w:color w:val="auto"/>
                    <w:sz w:val="24"/>
                    <w:szCs w:val="24"/>
                    <w:lang w:val="fr-FR"/>
                  </w:rPr>
                  <w:t xml:space="preserve">Aux analyses sensibles </w:t>
                </w:r>
                <w:r w:rsidR="00B334AD" w:rsidRPr="009313D3">
                  <w:rPr>
                    <w:color w:val="auto"/>
                    <w:sz w:val="24"/>
                    <w:szCs w:val="24"/>
                    <w:lang w:val="fr-FR"/>
                  </w:rPr>
                  <w:t xml:space="preserve">des conflits communautaires, suivies de la facilitation </w:t>
                </w:r>
                <w:r w:rsidR="00B334AD" w:rsidRPr="00EA03DB">
                  <w:rPr>
                    <w:color w:val="auto"/>
                    <w:sz w:val="24"/>
                    <w:lang w:val="fr-FR"/>
                  </w:rPr>
                  <w:t xml:space="preserve">de </w:t>
                </w:r>
                <w:r w:rsidR="00B334AD" w:rsidRPr="009313D3">
                  <w:rPr>
                    <w:color w:val="auto"/>
                    <w:sz w:val="24"/>
                    <w:szCs w:val="24"/>
                    <w:lang w:val="fr-FR"/>
                  </w:rPr>
                  <w:t>la communication et de la collaboration entre les parties prenantes, afin de les aider à trouver, par eux-mêmes, une solution réciproquement acceptable</w:t>
                </w:r>
                <w:r w:rsidR="00DB5124">
                  <w:rPr>
                    <w:color w:val="auto"/>
                    <w:sz w:val="24"/>
                    <w:szCs w:val="24"/>
                    <w:lang w:val="fr-FR"/>
                  </w:rPr>
                  <w:t xml:space="preserve"> (processus de médiation humanitaire)</w:t>
                </w:r>
              </w:p>
              <w:p w14:paraId="5C33A6A4" w14:textId="689F23D4" w:rsidR="00C11051" w:rsidRPr="009313D3" w:rsidRDefault="008A1F64" w:rsidP="008A1F64">
                <w:pPr>
                  <w:spacing w:after="200" w:line="276" w:lineRule="auto"/>
                  <w:contextualSpacing/>
                  <w:jc w:val="both"/>
                  <w:rPr>
                    <w:b/>
                    <w:color w:val="auto"/>
                    <w:sz w:val="24"/>
                    <w:szCs w:val="24"/>
                    <w:lang w:val="fr-FR"/>
                  </w:rPr>
                </w:pPr>
                <w:r w:rsidRPr="009313D3">
                  <w:rPr>
                    <w:b/>
                    <w:color w:val="auto"/>
                    <w:sz w:val="24"/>
                    <w:szCs w:val="24"/>
                    <w:lang w:val="fr-FR"/>
                  </w:rPr>
                  <w:t>Réponse d’urgence aux déplacements des population</w:t>
                </w:r>
                <w:r w:rsidR="00B334AD" w:rsidRPr="009313D3">
                  <w:rPr>
                    <w:b/>
                    <w:color w:val="auto"/>
                    <w:sz w:val="24"/>
                    <w:szCs w:val="24"/>
                    <w:lang w:val="fr-FR"/>
                  </w:rPr>
                  <w:t xml:space="preserve"> (RRM)</w:t>
                </w:r>
              </w:p>
              <w:p w14:paraId="5C33A6A6" w14:textId="191DFA41" w:rsidR="00C11051" w:rsidRPr="009313D3" w:rsidRDefault="00B334AD" w:rsidP="00B334AD">
                <w:pPr>
                  <w:spacing w:after="200" w:line="276" w:lineRule="auto"/>
                  <w:ind w:left="34" w:hanging="34"/>
                  <w:contextualSpacing/>
                  <w:jc w:val="both"/>
                  <w:rPr>
                    <w:color w:val="auto"/>
                    <w:sz w:val="24"/>
                    <w:szCs w:val="24"/>
                    <w:lang w:val="fr-FR"/>
                  </w:rPr>
                </w:pPr>
                <w:r w:rsidRPr="009313D3">
                  <w:rPr>
                    <w:color w:val="auto"/>
                    <w:sz w:val="24"/>
                    <w:szCs w:val="24"/>
                    <w:lang w:val="fr-FR"/>
                  </w:rPr>
                  <w:t xml:space="preserve">RRM contribue à améliorer les conditions de vie des personnes vulnérabilisées suite à un mouvement ou une limitation de mouvement de population causé par un conflit ou une catastrophe naturelle par le biais d’une assistance d’urgence. </w:t>
                </w:r>
                <w:r w:rsidR="00702DA1">
                  <w:rPr>
                    <w:color w:val="auto"/>
                    <w:sz w:val="24"/>
                    <w:szCs w:val="24"/>
                    <w:lang w:val="fr-FR"/>
                  </w:rPr>
                  <w:t>Le RRM fournit notamment</w:t>
                </w:r>
                <w:r w:rsidR="00D707C7" w:rsidRPr="009313D3">
                  <w:rPr>
                    <w:color w:val="auto"/>
                    <w:sz w:val="24"/>
                    <w:szCs w:val="24"/>
                    <w:lang w:val="fr-FR"/>
                  </w:rPr>
                  <w:t> :</w:t>
                </w:r>
              </w:p>
              <w:p w14:paraId="02090241" w14:textId="77777777" w:rsidR="00D707C7" w:rsidRPr="009313D3" w:rsidRDefault="00D707C7" w:rsidP="00D707C7">
                <w:pPr>
                  <w:pStyle w:val="ListParagraph"/>
                  <w:numPr>
                    <w:ilvl w:val="0"/>
                    <w:numId w:val="29"/>
                  </w:numPr>
                  <w:spacing w:after="200" w:line="276" w:lineRule="auto"/>
                  <w:ind w:left="743" w:hanging="425"/>
                  <w:contextualSpacing/>
                  <w:jc w:val="both"/>
                  <w:rPr>
                    <w:color w:val="auto"/>
                    <w:sz w:val="24"/>
                    <w:szCs w:val="24"/>
                    <w:lang w:val="fr-FR"/>
                  </w:rPr>
                </w:pPr>
                <w:r w:rsidRPr="009313D3">
                  <w:rPr>
                    <w:color w:val="auto"/>
                    <w:sz w:val="24"/>
                    <w:szCs w:val="24"/>
                    <w:lang w:val="fr-FR"/>
                  </w:rPr>
                  <w:t>La mise en place, la formation et l’appui des comités de veille humanitaire et de crise au niveau des cercles d’intervention</w:t>
                </w:r>
              </w:p>
              <w:p w14:paraId="362FB10E" w14:textId="77777777" w:rsidR="00D707C7" w:rsidRPr="009313D3" w:rsidRDefault="00D707C7" w:rsidP="00D707C7">
                <w:pPr>
                  <w:pStyle w:val="ListParagraph"/>
                  <w:numPr>
                    <w:ilvl w:val="0"/>
                    <w:numId w:val="29"/>
                  </w:numPr>
                  <w:spacing w:after="200" w:line="276" w:lineRule="auto"/>
                  <w:ind w:left="743" w:hanging="425"/>
                  <w:contextualSpacing/>
                  <w:jc w:val="both"/>
                  <w:rPr>
                    <w:color w:val="auto"/>
                    <w:sz w:val="24"/>
                    <w:szCs w:val="24"/>
                    <w:lang w:val="fr-FR"/>
                  </w:rPr>
                </w:pPr>
                <w:r w:rsidRPr="009313D3">
                  <w:rPr>
                    <w:color w:val="auto"/>
                    <w:sz w:val="24"/>
                    <w:szCs w:val="24"/>
                    <w:lang w:val="fr-FR"/>
                  </w:rPr>
                  <w:t>La conduite des évaluations multisectorielles et rapides des besoins auprès des populations ciblées</w:t>
                </w:r>
              </w:p>
              <w:p w14:paraId="44D7C2E3" w14:textId="4B3F9FF5" w:rsidR="00D707C7" w:rsidRPr="009313D3" w:rsidRDefault="00D707C7" w:rsidP="00D707C7">
                <w:pPr>
                  <w:pStyle w:val="ListParagraph"/>
                  <w:numPr>
                    <w:ilvl w:val="0"/>
                    <w:numId w:val="29"/>
                  </w:numPr>
                  <w:spacing w:after="200" w:line="276" w:lineRule="auto"/>
                  <w:ind w:left="743" w:hanging="425"/>
                  <w:contextualSpacing/>
                  <w:jc w:val="both"/>
                  <w:rPr>
                    <w:color w:val="auto"/>
                    <w:sz w:val="24"/>
                    <w:szCs w:val="24"/>
                    <w:lang w:val="fr-FR"/>
                  </w:rPr>
                </w:pPr>
                <w:r w:rsidRPr="009313D3">
                  <w:rPr>
                    <w:color w:val="auto"/>
                    <w:sz w:val="24"/>
                    <w:szCs w:val="24"/>
                    <w:lang w:val="fr-FR"/>
                  </w:rPr>
                  <w:t xml:space="preserve">L’assistance d’urgence en articles ménagers essentiels, vivres, </w:t>
                </w:r>
                <w:r w:rsidR="00702DA1">
                  <w:rPr>
                    <w:color w:val="auto"/>
                    <w:sz w:val="24"/>
                    <w:szCs w:val="24"/>
                    <w:lang w:val="fr-FR"/>
                  </w:rPr>
                  <w:t xml:space="preserve">et </w:t>
                </w:r>
                <w:r w:rsidRPr="009313D3">
                  <w:rPr>
                    <w:color w:val="auto"/>
                    <w:sz w:val="24"/>
                    <w:szCs w:val="24"/>
                    <w:lang w:val="fr-FR"/>
                  </w:rPr>
                  <w:t>en intrant</w:t>
                </w:r>
                <w:r w:rsidR="00702DA1">
                  <w:rPr>
                    <w:color w:val="auto"/>
                    <w:sz w:val="24"/>
                    <w:szCs w:val="24"/>
                    <w:lang w:val="fr-FR"/>
                  </w:rPr>
                  <w:t>s</w:t>
                </w:r>
                <w:r w:rsidRPr="009313D3">
                  <w:rPr>
                    <w:color w:val="auto"/>
                    <w:sz w:val="24"/>
                    <w:szCs w:val="24"/>
                    <w:lang w:val="fr-FR"/>
                  </w:rPr>
                  <w:t xml:space="preserve"> de purification d’eau</w:t>
                </w:r>
              </w:p>
              <w:p w14:paraId="5C33A6A8" w14:textId="78B6777A" w:rsidR="00C11051" w:rsidRPr="009313D3" w:rsidRDefault="00D707C7" w:rsidP="00D707C7">
                <w:pPr>
                  <w:pStyle w:val="ListParagraph"/>
                  <w:numPr>
                    <w:ilvl w:val="0"/>
                    <w:numId w:val="29"/>
                  </w:numPr>
                  <w:spacing w:after="200" w:line="276" w:lineRule="auto"/>
                  <w:ind w:left="743" w:hanging="425"/>
                  <w:contextualSpacing/>
                  <w:jc w:val="both"/>
                  <w:rPr>
                    <w:color w:val="auto"/>
                    <w:sz w:val="24"/>
                    <w:szCs w:val="24"/>
                    <w:lang w:val="fr-FR"/>
                  </w:rPr>
                </w:pPr>
                <w:r w:rsidRPr="009313D3">
                  <w:rPr>
                    <w:color w:val="auto"/>
                    <w:sz w:val="24"/>
                    <w:szCs w:val="24"/>
                    <w:lang w:val="fr-FR"/>
                  </w:rPr>
                  <w:t>La coordination de la réponse d’urgence</w:t>
                </w:r>
                <w:r w:rsidR="00702DA1">
                  <w:rPr>
                    <w:color w:val="auto"/>
                    <w:sz w:val="24"/>
                    <w:szCs w:val="24"/>
                    <w:lang w:val="fr-FR"/>
                  </w:rPr>
                  <w:t xml:space="preserve"> avec les autres acteurs humanitaires du Mali</w:t>
                </w:r>
              </w:p>
            </w:tc>
          </w:tr>
          <w:tr w:rsidR="00C11051" w:rsidRPr="006943C6" w14:paraId="5C33A6AB" w14:textId="77777777" w:rsidTr="32B2E055">
            <w:tc>
              <w:tcPr>
                <w:tcW w:w="9918" w:type="dxa"/>
              </w:tcPr>
              <w:p w14:paraId="5C33A6AA" w14:textId="2A88D59F" w:rsidR="00C11051" w:rsidRPr="004A76E3" w:rsidRDefault="004A76E3" w:rsidP="004A76E3">
                <w:pPr>
                  <w:pStyle w:val="Heading2"/>
                  <w:outlineLvl w:val="1"/>
                  <w:rPr>
                    <w:lang w:val="fr-FR"/>
                  </w:rPr>
                </w:pPr>
                <w:r w:rsidRPr="0A38F48B">
                  <w:rPr>
                    <w:lang w:val="fr-FR"/>
                  </w:rPr>
                  <w:lastRenderedPageBreak/>
                  <w:t>Intervention</w:t>
                </w:r>
                <w:r w:rsidR="00311FB5" w:rsidRPr="0A38F48B">
                  <w:rPr>
                    <w:lang w:val="fr-FR"/>
                  </w:rPr>
                  <w:t>s</w:t>
                </w:r>
                <w:r w:rsidRPr="0A38F48B">
                  <w:rPr>
                    <w:lang w:val="fr-FR"/>
                  </w:rPr>
                  <w:t xml:space="preserve"> de </w:t>
                </w:r>
                <w:r w:rsidR="00C11051" w:rsidRPr="0A38F48B">
                  <w:rPr>
                    <w:lang w:val="fr-FR"/>
                  </w:rPr>
                  <w:t>NRC</w:t>
                </w:r>
                <w:r w:rsidRPr="0A38F48B">
                  <w:rPr>
                    <w:lang w:val="fr-FR"/>
                  </w:rPr>
                  <w:t xml:space="preserve"> spécifiques à l’é</w:t>
                </w:r>
                <w:r w:rsidR="00C11051" w:rsidRPr="0A38F48B">
                  <w:rPr>
                    <w:lang w:val="fr-FR"/>
                  </w:rPr>
                  <w:t>valuation</w:t>
                </w:r>
              </w:p>
            </w:tc>
          </w:tr>
          <w:tr w:rsidR="00C11051" w:rsidRPr="006943C6" w14:paraId="5C33A6B1" w14:textId="77777777" w:rsidTr="32B2E055">
            <w:tc>
              <w:tcPr>
                <w:tcW w:w="9918" w:type="dxa"/>
              </w:tcPr>
              <w:p w14:paraId="5C33A6B0" w14:textId="0F7A2160" w:rsidR="004204B2" w:rsidRPr="009313D3" w:rsidRDefault="04E39583" w:rsidP="00967449">
                <w:pPr>
                  <w:spacing w:after="200" w:line="276" w:lineRule="auto"/>
                  <w:contextualSpacing/>
                  <w:jc w:val="both"/>
                  <w:rPr>
                    <w:color w:val="auto"/>
                    <w:sz w:val="24"/>
                    <w:szCs w:val="24"/>
                    <w:lang w:val="fr-FR"/>
                  </w:rPr>
                </w:pPr>
                <w:r w:rsidRPr="32B2E055">
                  <w:rPr>
                    <w:color w:val="auto"/>
                    <w:sz w:val="24"/>
                    <w:szCs w:val="24"/>
                    <w:lang w:val="fr-FR"/>
                  </w:rPr>
                  <w:t xml:space="preserve">Cette évaluation couvrira les programmes d’éducation, ICLA, Abri et infrastructures. Ces trois programmes ont certains des projets </w:t>
                </w:r>
                <w:r w:rsidR="00237B71">
                  <w:rPr>
                    <w:color w:val="auto"/>
                    <w:sz w:val="24"/>
                    <w:szCs w:val="24"/>
                    <w:lang w:val="fr-FR"/>
                  </w:rPr>
                  <w:t xml:space="preserve">élaborés et mise en œuvre ensemble </w:t>
                </w:r>
                <w:r w:rsidRPr="32B2E055">
                  <w:rPr>
                    <w:color w:val="auto"/>
                    <w:sz w:val="24"/>
                    <w:szCs w:val="24"/>
                    <w:lang w:val="fr-FR"/>
                  </w:rPr>
                  <w:t xml:space="preserve">pour atteindre les mêmes </w:t>
                </w:r>
                <w:r w:rsidR="00237B71">
                  <w:rPr>
                    <w:color w:val="auto"/>
                    <w:sz w:val="24"/>
                    <w:szCs w:val="24"/>
                    <w:lang w:val="fr-FR"/>
                  </w:rPr>
                  <w:t>bénéficiaires directs</w:t>
                </w:r>
                <w:r w:rsidRPr="32B2E055">
                  <w:rPr>
                    <w:color w:val="auto"/>
                    <w:sz w:val="24"/>
                    <w:szCs w:val="24"/>
                    <w:lang w:val="fr-FR"/>
                  </w:rPr>
                  <w:t xml:space="preserve">. </w:t>
                </w:r>
                <w:r w:rsidR="14498E8F" w:rsidRPr="32B2E055">
                  <w:rPr>
                    <w:color w:val="auto"/>
                    <w:sz w:val="24"/>
                    <w:szCs w:val="24"/>
                    <w:lang w:val="fr-FR"/>
                  </w:rPr>
                  <w:t xml:space="preserve">Au moment où le programme </w:t>
                </w:r>
                <w:r w:rsidRPr="32B2E055">
                  <w:rPr>
                    <w:color w:val="auto"/>
                    <w:sz w:val="24"/>
                    <w:szCs w:val="24"/>
                    <w:lang w:val="fr-FR"/>
                  </w:rPr>
                  <w:t xml:space="preserve">Education </w:t>
                </w:r>
                <w:r w:rsidR="14498E8F" w:rsidRPr="32B2E055">
                  <w:rPr>
                    <w:color w:val="auto"/>
                    <w:sz w:val="24"/>
                    <w:szCs w:val="24"/>
                    <w:lang w:val="fr-FR"/>
                  </w:rPr>
                  <w:t xml:space="preserve">identifie les enfants non-scolarisés et/ou déscolarisé pour leur </w:t>
                </w:r>
                <w:r w:rsidR="7555B6AC" w:rsidRPr="32B2E055">
                  <w:rPr>
                    <w:color w:val="auto"/>
                    <w:sz w:val="24"/>
                    <w:szCs w:val="24"/>
                    <w:lang w:val="fr-FR"/>
                  </w:rPr>
                  <w:t xml:space="preserve">donner </w:t>
                </w:r>
                <w:r w:rsidR="14498E8F" w:rsidRPr="32B2E055">
                  <w:rPr>
                    <w:color w:val="auto"/>
                    <w:sz w:val="24"/>
                    <w:szCs w:val="24"/>
                    <w:lang w:val="fr-FR"/>
                  </w:rPr>
                  <w:t>une opportunité de reprendre l’éducation ; le programme EHA/Abri et Infrastructures appuie avec la construction / réhabilitation des salles de classes, des latrines en milieu scolaire, des espaces d’apprentissage temporaires, des points</w:t>
                </w:r>
                <w:r w:rsidR="00967449">
                  <w:rPr>
                    <w:color w:val="auto"/>
                    <w:sz w:val="24"/>
                    <w:szCs w:val="24"/>
                    <w:lang w:val="fr-FR"/>
                  </w:rPr>
                  <w:t xml:space="preserve"> d’eau</w:t>
                </w:r>
                <w:r w:rsidR="14498E8F" w:rsidRPr="32B2E055">
                  <w:rPr>
                    <w:color w:val="auto"/>
                    <w:sz w:val="24"/>
                    <w:szCs w:val="24"/>
                    <w:lang w:val="fr-FR"/>
                  </w:rPr>
                  <w:t> ; et le programme ICLA s’assure que chaque enfants a un extrait d’acte de naissance lui permettant la réinsertion dans les écoles fo</w:t>
                </w:r>
                <w:r w:rsidR="00967449">
                  <w:rPr>
                    <w:color w:val="auto"/>
                    <w:sz w:val="24"/>
                    <w:szCs w:val="24"/>
                    <w:lang w:val="fr-FR"/>
                  </w:rPr>
                  <w:t>rmelles</w:t>
                </w:r>
                <w:r w:rsidR="14498E8F" w:rsidRPr="32B2E055">
                  <w:rPr>
                    <w:color w:val="auto"/>
                    <w:sz w:val="24"/>
                    <w:szCs w:val="24"/>
                    <w:lang w:val="fr-FR"/>
                  </w:rPr>
                  <w:t xml:space="preserve"> et l’accès à d’autres droits.</w:t>
                </w:r>
                <w:r w:rsidR="247946CE" w:rsidRPr="32B2E055">
                  <w:rPr>
                    <w:color w:val="auto"/>
                    <w:sz w:val="24"/>
                    <w:szCs w:val="24"/>
                    <w:lang w:val="fr-FR"/>
                  </w:rPr>
                  <w:t xml:space="preserve"> </w:t>
                </w:r>
                <w:r w:rsidR="14498E8F" w:rsidRPr="32B2E055">
                  <w:rPr>
                    <w:color w:val="auto"/>
                    <w:sz w:val="24"/>
                    <w:szCs w:val="24"/>
                    <w:lang w:val="fr-FR"/>
                  </w:rPr>
                  <w:t>L’</w:t>
                </w:r>
                <w:r w:rsidR="0EC33C27" w:rsidRPr="32B2E055">
                  <w:rPr>
                    <w:color w:val="auto"/>
                    <w:sz w:val="24"/>
                    <w:szCs w:val="24"/>
                    <w:lang w:val="fr-FR"/>
                  </w:rPr>
                  <w:t>évaluation</w:t>
                </w:r>
                <w:r w:rsidR="14498E8F" w:rsidRPr="32B2E055">
                  <w:rPr>
                    <w:color w:val="auto"/>
                    <w:sz w:val="24"/>
                    <w:szCs w:val="24"/>
                    <w:lang w:val="fr-FR"/>
                  </w:rPr>
                  <w:t xml:space="preserve"> couvrira les </w:t>
                </w:r>
                <w:r w:rsidR="247946CE" w:rsidRPr="32B2E055">
                  <w:rPr>
                    <w:color w:val="auto"/>
                    <w:sz w:val="24"/>
                    <w:szCs w:val="24"/>
                    <w:lang w:val="fr-FR"/>
                  </w:rPr>
                  <w:t xml:space="preserve">projets MLFM2005 financé par SDC et </w:t>
                </w:r>
                <w:r w:rsidR="14498E8F" w:rsidRPr="32B2E055">
                  <w:rPr>
                    <w:color w:val="auto"/>
                    <w:sz w:val="24"/>
                    <w:szCs w:val="24"/>
                    <w:lang w:val="fr-FR"/>
                  </w:rPr>
                  <w:t>MLFM1722</w:t>
                </w:r>
                <w:r w:rsidR="247946CE" w:rsidRPr="32B2E055">
                  <w:rPr>
                    <w:color w:val="auto"/>
                    <w:sz w:val="24"/>
                    <w:szCs w:val="24"/>
                    <w:lang w:val="fr-FR"/>
                  </w:rPr>
                  <w:t xml:space="preserve"> </w:t>
                </w:r>
                <w:r w:rsidR="14498E8F" w:rsidRPr="32B2E055">
                  <w:rPr>
                    <w:color w:val="auto"/>
                    <w:sz w:val="24"/>
                    <w:szCs w:val="24"/>
                    <w:lang w:val="fr-FR"/>
                  </w:rPr>
                  <w:t>financé par Norad</w:t>
                </w:r>
                <w:r w:rsidR="247946CE" w:rsidRPr="32B2E055">
                  <w:rPr>
                    <w:color w:val="auto"/>
                    <w:sz w:val="24"/>
                    <w:szCs w:val="24"/>
                    <w:lang w:val="fr-FR"/>
                  </w:rPr>
                  <w:t>. Les deux projets ont été mis en œuvre dans les régions de Mopti et Tombouctou.</w:t>
                </w:r>
              </w:p>
            </w:tc>
          </w:tr>
        </w:tbl>
        <w:p w14:paraId="5C33A6B2" w14:textId="77777777" w:rsidR="00473482" w:rsidRPr="004A76E3" w:rsidRDefault="00473482" w:rsidP="00473482">
          <w:pPr>
            <w:jc w:val="both"/>
            <w:rPr>
              <w:rFonts w:ascii="Calibri" w:hAnsi="Calibri" w:cs="Calibri"/>
              <w:b/>
              <w:lang w:val="fr-FR"/>
            </w:rPr>
          </w:pPr>
        </w:p>
        <w:p w14:paraId="5C33A6B3" w14:textId="77777777" w:rsidR="00473482" w:rsidRPr="004A76E3" w:rsidRDefault="00473482" w:rsidP="00473482">
          <w:pPr>
            <w:jc w:val="both"/>
            <w:rPr>
              <w:rFonts w:ascii="Calibri" w:hAnsi="Calibri" w:cs="Calibri"/>
              <w:b/>
              <w:sz w:val="24"/>
              <w:szCs w:val="24"/>
              <w:lang w:val="fr-FR"/>
            </w:rPr>
          </w:pPr>
        </w:p>
        <w:p w14:paraId="5C33A6B4" w14:textId="77777777" w:rsidR="00473482" w:rsidRPr="004A76E3" w:rsidRDefault="00473482" w:rsidP="00473482">
          <w:pPr>
            <w:jc w:val="both"/>
            <w:rPr>
              <w:rFonts w:ascii="Calibri" w:eastAsia="Times New Roman" w:hAnsi="Calibri" w:cs="Calibri"/>
              <w:b/>
              <w:lang w:val="fr-FR"/>
            </w:rPr>
          </w:pPr>
        </w:p>
        <w:p w14:paraId="5C33A6B5" w14:textId="1C4A14C7" w:rsidR="00473482" w:rsidRPr="004A76E3" w:rsidRDefault="004A76E3" w:rsidP="00C11051">
          <w:pPr>
            <w:pStyle w:val="Heading1"/>
            <w:rPr>
              <w:rStyle w:val="Heading1Char"/>
              <w:lang w:val="fr-FR"/>
            </w:rPr>
          </w:pPr>
          <w:r w:rsidRPr="004A76E3">
            <w:rPr>
              <w:lang w:val="fr-FR"/>
            </w:rPr>
            <w:lastRenderedPageBreak/>
            <w:t>But et utilisation de l’évaluation</w:t>
          </w:r>
        </w:p>
        <w:tbl>
          <w:tblPr>
            <w:tblStyle w:val="TableGrid"/>
            <w:tblW w:w="9918" w:type="dxa"/>
            <w:tblLook w:val="04A0" w:firstRow="1" w:lastRow="0" w:firstColumn="1" w:lastColumn="0" w:noHBand="0" w:noVBand="1"/>
          </w:tblPr>
          <w:tblGrid>
            <w:gridCol w:w="9918"/>
          </w:tblGrid>
          <w:tr w:rsidR="00473482" w:rsidRPr="001D7112" w14:paraId="5C33A6B7" w14:textId="77777777" w:rsidTr="32B2E055">
            <w:tc>
              <w:tcPr>
                <w:tcW w:w="9918" w:type="dxa"/>
                <w:shd w:val="clear" w:color="auto" w:fill="auto"/>
              </w:tcPr>
              <w:p w14:paraId="5C33A6B6" w14:textId="6A58A32C" w:rsidR="00473482" w:rsidRPr="001D7112" w:rsidRDefault="004A76E3" w:rsidP="004A76E3">
                <w:pPr>
                  <w:pStyle w:val="Heading2"/>
                  <w:outlineLvl w:val="1"/>
                  <w:rPr>
                    <w:lang w:val="fr-FR"/>
                  </w:rPr>
                </w:pPr>
                <w:r w:rsidRPr="001D7112">
                  <w:rPr>
                    <w:lang w:val="fr-FR"/>
                  </w:rPr>
                  <w:t>But de l’évaluation</w:t>
                </w:r>
              </w:p>
            </w:tc>
          </w:tr>
          <w:tr w:rsidR="005D72FB" w:rsidRPr="006943C6" w14:paraId="5C33A6BB" w14:textId="77777777" w:rsidTr="32B2E055">
            <w:tc>
              <w:tcPr>
                <w:tcW w:w="9918" w:type="dxa"/>
                <w:shd w:val="clear" w:color="auto" w:fill="auto"/>
              </w:tcPr>
              <w:p w14:paraId="5C33A6BA" w14:textId="7C247EE6" w:rsidR="005D72FB" w:rsidRPr="009313D3" w:rsidRDefault="009313D3">
                <w:pPr>
                  <w:ind w:left="34"/>
                  <w:jc w:val="both"/>
                  <w:rPr>
                    <w:color w:val="auto"/>
                    <w:sz w:val="24"/>
                    <w:szCs w:val="24"/>
                    <w:lang w:val="fr-FR"/>
                  </w:rPr>
                </w:pPr>
                <w:r w:rsidRPr="009313D3">
                  <w:rPr>
                    <w:color w:val="auto"/>
                    <w:sz w:val="24"/>
                    <w:szCs w:val="24"/>
                    <w:lang w:val="fr-FR"/>
                  </w:rPr>
                  <w:t xml:space="preserve">L’évaluation vise à générer des leçons et des recommandations afin d’apporter des changements et des améliorations dans la </w:t>
                </w:r>
                <w:r>
                  <w:rPr>
                    <w:color w:val="auto"/>
                    <w:sz w:val="24"/>
                    <w:szCs w:val="24"/>
                    <w:lang w:val="fr-FR"/>
                  </w:rPr>
                  <w:t>programmation, la planification et la mise en œuvre</w:t>
                </w:r>
                <w:r w:rsidR="001F3CBC">
                  <w:rPr>
                    <w:color w:val="auto"/>
                    <w:sz w:val="24"/>
                    <w:szCs w:val="24"/>
                    <w:lang w:val="fr-FR"/>
                  </w:rPr>
                  <w:t xml:space="preserve"> de nos projets</w:t>
                </w:r>
                <w:r>
                  <w:rPr>
                    <w:color w:val="auto"/>
                    <w:sz w:val="24"/>
                    <w:szCs w:val="24"/>
                    <w:lang w:val="fr-FR"/>
                  </w:rPr>
                  <w:t xml:space="preserve">. </w:t>
                </w:r>
                <w:r w:rsidRPr="009313D3">
                  <w:rPr>
                    <w:color w:val="auto"/>
                    <w:sz w:val="24"/>
                    <w:szCs w:val="24"/>
                    <w:lang w:val="fr-FR"/>
                  </w:rPr>
                  <w:t xml:space="preserve">L’évaluation permettra d’analyser les résultats des programmes Education, ICLA, Abri et Infrastructures dans les deux projets communs, les effets sur les bénéficiaires, </w:t>
                </w:r>
                <w:r w:rsidR="001F3CBC">
                  <w:rPr>
                    <w:color w:val="auto"/>
                    <w:sz w:val="24"/>
                    <w:szCs w:val="24"/>
                    <w:lang w:val="fr-FR"/>
                  </w:rPr>
                  <w:t>et</w:t>
                </w:r>
                <w:r w:rsidR="001F3CBC" w:rsidRPr="009313D3">
                  <w:rPr>
                    <w:color w:val="auto"/>
                    <w:sz w:val="24"/>
                    <w:szCs w:val="24"/>
                    <w:lang w:val="fr-FR"/>
                  </w:rPr>
                  <w:t xml:space="preserve"> </w:t>
                </w:r>
                <w:r w:rsidRPr="009313D3">
                  <w:rPr>
                    <w:color w:val="auto"/>
                    <w:sz w:val="24"/>
                    <w:szCs w:val="24"/>
                    <w:lang w:val="fr-FR"/>
                  </w:rPr>
                  <w:t>dégager</w:t>
                </w:r>
                <w:r w:rsidR="001F3CBC">
                  <w:rPr>
                    <w:color w:val="auto"/>
                    <w:sz w:val="24"/>
                    <w:szCs w:val="24"/>
                    <w:lang w:val="fr-FR"/>
                  </w:rPr>
                  <w:t>a</w:t>
                </w:r>
                <w:r w:rsidRPr="009313D3">
                  <w:rPr>
                    <w:color w:val="auto"/>
                    <w:sz w:val="24"/>
                    <w:szCs w:val="24"/>
                    <w:lang w:val="fr-FR"/>
                  </w:rPr>
                  <w:t xml:space="preserve"> de</w:t>
                </w:r>
                <w:r>
                  <w:rPr>
                    <w:color w:val="auto"/>
                    <w:sz w:val="24"/>
                    <w:szCs w:val="24"/>
                    <w:lang w:val="fr-FR"/>
                  </w:rPr>
                  <w:t xml:space="preserve">s leçons et des recommandations </w:t>
                </w:r>
                <w:r w:rsidRPr="009313D3">
                  <w:rPr>
                    <w:color w:val="auto"/>
                    <w:sz w:val="24"/>
                    <w:szCs w:val="24"/>
                    <w:lang w:val="fr-FR"/>
                  </w:rPr>
                  <w:t>afin d’améliorer l</w:t>
                </w:r>
                <w:r>
                  <w:rPr>
                    <w:color w:val="auto"/>
                    <w:sz w:val="24"/>
                    <w:szCs w:val="24"/>
                    <w:lang w:val="fr-FR"/>
                  </w:rPr>
                  <w:t xml:space="preserve">’approche </w:t>
                </w:r>
                <w:r w:rsidRPr="009313D3">
                  <w:rPr>
                    <w:color w:val="auto"/>
                    <w:sz w:val="24"/>
                    <w:szCs w:val="24"/>
                    <w:lang w:val="fr-FR"/>
                  </w:rPr>
                  <w:t>intégrée</w:t>
                </w:r>
                <w:r>
                  <w:rPr>
                    <w:color w:val="auto"/>
                    <w:sz w:val="24"/>
                    <w:szCs w:val="24"/>
                    <w:lang w:val="fr-FR"/>
                  </w:rPr>
                  <w:t xml:space="preserve"> de réponse aux besoins des personnes déplacées et des personnes affectées par les conflits/crises</w:t>
                </w:r>
                <w:r w:rsidRPr="009313D3">
                  <w:rPr>
                    <w:color w:val="auto"/>
                    <w:sz w:val="24"/>
                    <w:szCs w:val="24"/>
                    <w:lang w:val="fr-FR"/>
                  </w:rPr>
                  <w:t>.</w:t>
                </w:r>
              </w:p>
            </w:tc>
          </w:tr>
          <w:tr w:rsidR="005D72FB" w:rsidRPr="001D7112" w14:paraId="5C33A6BD" w14:textId="77777777" w:rsidTr="00EA03DB">
            <w:trPr>
              <w:trHeight w:val="1005"/>
            </w:trPr>
            <w:tc>
              <w:tcPr>
                <w:tcW w:w="9918" w:type="dxa"/>
                <w:shd w:val="clear" w:color="auto" w:fill="auto"/>
              </w:tcPr>
              <w:p w14:paraId="5C33A6BC" w14:textId="02796DEB" w:rsidR="005D72FB" w:rsidRPr="001D7112" w:rsidRDefault="004A76E3" w:rsidP="004A76E3">
                <w:pPr>
                  <w:pStyle w:val="Heading2"/>
                  <w:outlineLvl w:val="1"/>
                  <w:rPr>
                    <w:lang w:val="fr-FR"/>
                  </w:rPr>
                </w:pPr>
                <w:r w:rsidRPr="001D7112">
                  <w:rPr>
                    <w:lang w:val="fr-FR"/>
                  </w:rPr>
                  <w:t>Utilisation de l’évaluation</w:t>
                </w:r>
              </w:p>
            </w:tc>
          </w:tr>
          <w:tr w:rsidR="00985A25" w:rsidRPr="006943C6" w14:paraId="5C33A6C1" w14:textId="77777777" w:rsidTr="00EA03DB">
            <w:trPr>
              <w:trHeight w:val="1755"/>
            </w:trPr>
            <w:tc>
              <w:tcPr>
                <w:tcW w:w="9918" w:type="dxa"/>
                <w:shd w:val="clear" w:color="auto" w:fill="auto"/>
              </w:tcPr>
              <w:p w14:paraId="5C33A6C0" w14:textId="7074A79A" w:rsidR="008267D8" w:rsidRPr="009313D3" w:rsidRDefault="009313D3" w:rsidP="00985A25">
                <w:pPr>
                  <w:jc w:val="both"/>
                  <w:rPr>
                    <w:color w:val="auto"/>
                    <w:sz w:val="24"/>
                    <w:szCs w:val="24"/>
                    <w:lang w:val="fr-FR"/>
                  </w:rPr>
                </w:pPr>
                <w:r w:rsidRPr="009313D3">
                  <w:rPr>
                    <w:color w:val="auto"/>
                    <w:sz w:val="24"/>
                    <w:szCs w:val="24"/>
                    <w:lang w:val="fr-FR"/>
                  </w:rPr>
                  <w:t xml:space="preserve">Les résultats de l’évaluation seront utilisés </w:t>
                </w:r>
                <w:r>
                  <w:rPr>
                    <w:color w:val="auto"/>
                    <w:sz w:val="24"/>
                    <w:szCs w:val="24"/>
                    <w:lang w:val="fr-FR"/>
                  </w:rPr>
                  <w:t xml:space="preserve">pour alimenter la stratégie pays, </w:t>
                </w:r>
                <w:r w:rsidR="00657C72">
                  <w:rPr>
                    <w:color w:val="auto"/>
                    <w:sz w:val="24"/>
                    <w:szCs w:val="24"/>
                    <w:lang w:val="fr-FR"/>
                  </w:rPr>
                  <w:t xml:space="preserve">ainsi que </w:t>
                </w:r>
                <w:r>
                  <w:rPr>
                    <w:color w:val="auto"/>
                    <w:sz w:val="24"/>
                    <w:szCs w:val="24"/>
                    <w:lang w:val="fr-FR"/>
                  </w:rPr>
                  <w:t>les stratégies spé</w:t>
                </w:r>
                <w:r w:rsidR="00985A25">
                  <w:rPr>
                    <w:color w:val="auto"/>
                    <w:sz w:val="24"/>
                    <w:szCs w:val="24"/>
                    <w:lang w:val="fr-FR"/>
                  </w:rPr>
                  <w:t xml:space="preserve">cifiques des 3 programmes. Ils seront utilisés aussi pour </w:t>
                </w:r>
                <w:r w:rsidR="000E49C8">
                  <w:rPr>
                    <w:color w:val="auto"/>
                    <w:sz w:val="24"/>
                    <w:szCs w:val="24"/>
                    <w:lang w:val="fr-FR"/>
                  </w:rPr>
                  <w:t xml:space="preserve">adapter et </w:t>
                </w:r>
                <w:r w:rsidR="00985A25">
                  <w:rPr>
                    <w:color w:val="auto"/>
                    <w:sz w:val="24"/>
                    <w:szCs w:val="24"/>
                    <w:lang w:val="fr-FR"/>
                  </w:rPr>
                  <w:t>améliorer la mise en œuvre des activités afin d’atteindre de</w:t>
                </w:r>
                <w:r w:rsidR="00657C72">
                  <w:rPr>
                    <w:color w:val="auto"/>
                    <w:sz w:val="24"/>
                    <w:szCs w:val="24"/>
                    <w:lang w:val="fr-FR"/>
                  </w:rPr>
                  <w:t>s</w:t>
                </w:r>
                <w:r w:rsidR="00985A25">
                  <w:rPr>
                    <w:color w:val="auto"/>
                    <w:sz w:val="24"/>
                    <w:szCs w:val="24"/>
                    <w:lang w:val="fr-FR"/>
                  </w:rPr>
                  <w:t xml:space="preserve"> résultats </w:t>
                </w:r>
                <w:r w:rsidR="000E49C8">
                  <w:rPr>
                    <w:color w:val="auto"/>
                    <w:sz w:val="24"/>
                    <w:szCs w:val="24"/>
                    <w:lang w:val="fr-FR"/>
                  </w:rPr>
                  <w:t>meilleurs</w:t>
                </w:r>
                <w:r w:rsidR="00985A25">
                  <w:rPr>
                    <w:color w:val="auto"/>
                    <w:sz w:val="24"/>
                    <w:szCs w:val="24"/>
                    <w:lang w:val="fr-FR"/>
                  </w:rPr>
                  <w:t xml:space="preserve"> pour les populations </w:t>
                </w:r>
                <w:r w:rsidR="000E49C8">
                  <w:rPr>
                    <w:color w:val="auto"/>
                    <w:sz w:val="24"/>
                    <w:szCs w:val="24"/>
                    <w:lang w:val="fr-FR"/>
                  </w:rPr>
                  <w:t>cibles affectées par les conflits/crises.</w:t>
                </w:r>
              </w:p>
            </w:tc>
          </w:tr>
          <w:tr w:rsidR="005D72FB" w:rsidRPr="001D7112" w14:paraId="5C33A6C3" w14:textId="77777777" w:rsidTr="32B2E055">
            <w:tc>
              <w:tcPr>
                <w:tcW w:w="9918" w:type="dxa"/>
                <w:shd w:val="clear" w:color="auto" w:fill="auto"/>
              </w:tcPr>
              <w:p w14:paraId="5C33A6C2" w14:textId="720C0B70" w:rsidR="005D72FB" w:rsidRPr="001D7112" w:rsidRDefault="004A76E3" w:rsidP="004A76E3">
                <w:pPr>
                  <w:pStyle w:val="Heading2"/>
                  <w:outlineLvl w:val="1"/>
                  <w:rPr>
                    <w:lang w:val="fr-FR"/>
                  </w:rPr>
                </w:pPr>
                <w:r w:rsidRPr="001D7112">
                  <w:rPr>
                    <w:lang w:val="fr-FR"/>
                  </w:rPr>
                  <w:t>Utilisateurs / trices de l’évaluation</w:t>
                </w:r>
              </w:p>
            </w:tc>
          </w:tr>
          <w:tr w:rsidR="000E49C8" w:rsidRPr="006943C6" w14:paraId="5C33A6C7" w14:textId="77777777" w:rsidTr="32B2E055">
            <w:tc>
              <w:tcPr>
                <w:tcW w:w="9918" w:type="dxa"/>
                <w:shd w:val="clear" w:color="auto" w:fill="auto"/>
              </w:tcPr>
              <w:p w14:paraId="5C33A6C6" w14:textId="10E5BEE7" w:rsidR="005D72FB" w:rsidRPr="000E49C8" w:rsidRDefault="2D9A6742" w:rsidP="000E49C8">
                <w:pPr>
                  <w:jc w:val="both"/>
                  <w:rPr>
                    <w:color w:val="auto"/>
                    <w:sz w:val="24"/>
                    <w:szCs w:val="24"/>
                    <w:lang w:val="fr-FR"/>
                  </w:rPr>
                </w:pPr>
                <w:r w:rsidRPr="0A38F48B">
                  <w:rPr>
                    <w:color w:val="auto"/>
                    <w:sz w:val="24"/>
                    <w:szCs w:val="24"/>
                    <w:lang w:val="fr-FR"/>
                  </w:rPr>
                  <w:t>Les utilisateurs</w:t>
                </w:r>
                <w:r w:rsidR="00DA0F6C">
                  <w:rPr>
                    <w:color w:val="auto"/>
                    <w:sz w:val="24"/>
                    <w:szCs w:val="24"/>
                    <w:lang w:val="fr-FR"/>
                  </w:rPr>
                  <w:t>/trices</w:t>
                </w:r>
                <w:r w:rsidRPr="0A38F48B">
                  <w:rPr>
                    <w:color w:val="auto"/>
                    <w:sz w:val="24"/>
                    <w:szCs w:val="24"/>
                    <w:lang w:val="fr-FR"/>
                  </w:rPr>
                  <w:t xml:space="preserve"> de cette évaluation sont les </w:t>
                </w:r>
                <w:r w:rsidR="00657C72">
                  <w:rPr>
                    <w:color w:val="auto"/>
                    <w:sz w:val="24"/>
                    <w:szCs w:val="24"/>
                    <w:lang w:val="fr-FR"/>
                  </w:rPr>
                  <w:t xml:space="preserve">staffs des </w:t>
                </w:r>
                <w:r w:rsidRPr="0A38F48B">
                  <w:rPr>
                    <w:color w:val="auto"/>
                    <w:sz w:val="24"/>
                    <w:szCs w:val="24"/>
                    <w:lang w:val="fr-FR"/>
                  </w:rPr>
                  <w:t>programmes ICLA, Education et Abri et Infrastructure de NRC</w:t>
                </w:r>
                <w:r w:rsidR="00DA0F6C">
                  <w:rPr>
                    <w:color w:val="auto"/>
                    <w:sz w:val="24"/>
                    <w:szCs w:val="24"/>
                    <w:lang w:val="fr-FR"/>
                  </w:rPr>
                  <w:t>, l’équipe de communication et plaidoyer de NRC et l’équipe de gestion de NRC Mali</w:t>
                </w:r>
                <w:r w:rsidRPr="0A38F48B">
                  <w:rPr>
                    <w:color w:val="auto"/>
                    <w:sz w:val="24"/>
                    <w:szCs w:val="24"/>
                    <w:lang w:val="fr-FR"/>
                  </w:rPr>
                  <w:t>. D’autres sont les parties prenantes dans la mise en œuvre des deux projets ciblés, tels que les académies, centres d’animation pédagogiques, les mairies</w:t>
                </w:r>
                <w:r w:rsidR="00BC546B">
                  <w:rPr>
                    <w:color w:val="auto"/>
                    <w:sz w:val="24"/>
                    <w:szCs w:val="24"/>
                    <w:lang w:val="fr-FR"/>
                  </w:rPr>
                  <w:t>, les centres d’état civils, les tribunaux</w:t>
                </w:r>
                <w:r w:rsidRPr="0A38F48B">
                  <w:rPr>
                    <w:color w:val="auto"/>
                    <w:sz w:val="24"/>
                    <w:szCs w:val="24"/>
                    <w:lang w:val="fr-FR"/>
                  </w:rPr>
                  <w:t xml:space="preserve"> et les services déconcentrés d’eau, hygiène et assainissement</w:t>
                </w:r>
                <w:r w:rsidR="46835C53" w:rsidRPr="0A38F48B">
                  <w:rPr>
                    <w:color w:val="auto"/>
                    <w:sz w:val="24"/>
                    <w:szCs w:val="24"/>
                    <w:lang w:val="fr-FR"/>
                  </w:rPr>
                  <w:t xml:space="preserve"> ; ainsi que les écoles bénéficiaires </w:t>
                </w:r>
                <w:r w:rsidRPr="0A38F48B">
                  <w:rPr>
                    <w:color w:val="auto"/>
                    <w:sz w:val="24"/>
                    <w:szCs w:val="24"/>
                    <w:lang w:val="fr-FR"/>
                  </w:rPr>
                  <w:t>des régions de Mopti et Tombouctou.</w:t>
                </w:r>
                <w:r w:rsidR="46835C53" w:rsidRPr="0A38F48B">
                  <w:rPr>
                    <w:color w:val="auto"/>
                    <w:sz w:val="24"/>
                    <w:szCs w:val="24"/>
                    <w:lang w:val="fr-FR"/>
                  </w:rPr>
                  <w:t xml:space="preserve"> </w:t>
                </w:r>
                <w:r w:rsidR="00DA0F6C">
                  <w:rPr>
                    <w:color w:val="auto"/>
                    <w:sz w:val="24"/>
                    <w:szCs w:val="24"/>
                    <w:lang w:val="fr-FR"/>
                  </w:rPr>
                  <w:t>Parmi les utilisateurs/trices, il y a aussi les clusters respectifs, les autres acteurs humanitaires dans la zone couverte et les bailleurs.</w:t>
                </w:r>
              </w:p>
            </w:tc>
          </w:tr>
        </w:tbl>
        <w:p w14:paraId="5C33A6C8" w14:textId="77777777" w:rsidR="00473482" w:rsidRPr="000E49C8" w:rsidRDefault="00473482" w:rsidP="00473482">
          <w:pPr>
            <w:jc w:val="both"/>
            <w:rPr>
              <w:rFonts w:ascii="Calibri" w:hAnsi="Calibri" w:cs="Calibri"/>
              <w:highlight w:val="yellow"/>
              <w:lang w:val="fr-FR"/>
            </w:rPr>
          </w:pPr>
        </w:p>
        <w:p w14:paraId="5C33A6C9" w14:textId="5972EB08" w:rsidR="00C11051" w:rsidRPr="000E49C8" w:rsidRDefault="004A76E3" w:rsidP="00C11051">
          <w:pPr>
            <w:pStyle w:val="Heading1"/>
            <w:rPr>
              <w:lang w:val="fr-FR"/>
            </w:rPr>
          </w:pPr>
          <w:r w:rsidRPr="000E49C8">
            <w:rPr>
              <w:lang w:val="fr-FR"/>
            </w:rPr>
            <w:t>Portée et questions d’évaluation</w:t>
          </w:r>
        </w:p>
        <w:tbl>
          <w:tblPr>
            <w:tblStyle w:val="TableGrid"/>
            <w:tblW w:w="9918" w:type="dxa"/>
            <w:tblLook w:val="04A0" w:firstRow="1" w:lastRow="0" w:firstColumn="1" w:lastColumn="0" w:noHBand="0" w:noVBand="1"/>
          </w:tblPr>
          <w:tblGrid>
            <w:gridCol w:w="9918"/>
          </w:tblGrid>
          <w:tr w:rsidR="00C11051" w:rsidRPr="002B405E" w14:paraId="5C33A6CC" w14:textId="77777777" w:rsidTr="0A38F48B">
            <w:tc>
              <w:tcPr>
                <w:tcW w:w="9918" w:type="dxa"/>
                <w:shd w:val="clear" w:color="auto" w:fill="auto"/>
              </w:tcPr>
              <w:p w14:paraId="5C33A6CA" w14:textId="61490F46" w:rsidR="00C11051" w:rsidRPr="002B405E" w:rsidRDefault="004A76E3" w:rsidP="005D72FB">
                <w:pPr>
                  <w:pStyle w:val="Heading2"/>
                  <w:outlineLvl w:val="1"/>
                  <w:rPr>
                    <w:lang w:val="fr-FR"/>
                  </w:rPr>
                </w:pPr>
                <w:r w:rsidRPr="002B405E">
                  <w:rPr>
                    <w:lang w:val="fr-FR"/>
                  </w:rPr>
                  <w:t>Portée</w:t>
                </w:r>
              </w:p>
              <w:p w14:paraId="5C33A6CB" w14:textId="77777777" w:rsidR="00C11051" w:rsidRPr="002B405E" w:rsidRDefault="00C11051" w:rsidP="007E0F48">
                <w:pPr>
                  <w:jc w:val="both"/>
                  <w:rPr>
                    <w:rFonts w:ascii="Calibri" w:hAnsi="Calibri" w:cs="Calibri"/>
                    <w:color w:val="808080" w:themeColor="background1" w:themeShade="80"/>
                    <w:lang w:val="fr-FR"/>
                  </w:rPr>
                </w:pPr>
              </w:p>
            </w:tc>
          </w:tr>
          <w:tr w:rsidR="002F4C3C" w:rsidRPr="002F4C3C" w14:paraId="5C33A6D2" w14:textId="77777777" w:rsidTr="0A38F48B">
            <w:tc>
              <w:tcPr>
                <w:tcW w:w="9918" w:type="dxa"/>
                <w:shd w:val="clear" w:color="auto" w:fill="auto"/>
              </w:tcPr>
              <w:p w14:paraId="5C33A6CD" w14:textId="07D428E6" w:rsidR="005D72FB" w:rsidRPr="002F4C3C" w:rsidRDefault="005D72FB" w:rsidP="00F31E8F">
                <w:pPr>
                  <w:pStyle w:val="ListParagraph"/>
                  <w:numPr>
                    <w:ilvl w:val="0"/>
                    <w:numId w:val="30"/>
                  </w:numPr>
                  <w:spacing w:after="0"/>
                  <w:jc w:val="both"/>
                  <w:rPr>
                    <w:color w:val="auto"/>
                    <w:sz w:val="24"/>
                    <w:szCs w:val="24"/>
                    <w:lang w:val="fr-FR"/>
                  </w:rPr>
                </w:pPr>
                <w:r w:rsidRPr="002F4C3C">
                  <w:rPr>
                    <w:color w:val="auto"/>
                    <w:sz w:val="24"/>
                    <w:szCs w:val="24"/>
                    <w:lang w:val="fr-FR"/>
                  </w:rPr>
                  <w:t>Dates</w:t>
                </w:r>
                <w:r w:rsidR="00F31E8F" w:rsidRPr="002F4C3C">
                  <w:rPr>
                    <w:color w:val="auto"/>
                    <w:sz w:val="24"/>
                    <w:szCs w:val="24"/>
                    <w:lang w:val="fr-FR"/>
                  </w:rPr>
                  <w:t xml:space="preserve"> : l’évaluation couvrira </w:t>
                </w:r>
                <w:r w:rsidR="00702AE2">
                  <w:rPr>
                    <w:color w:val="auto"/>
                    <w:sz w:val="24"/>
                    <w:szCs w:val="24"/>
                    <w:lang w:val="fr-FR"/>
                  </w:rPr>
                  <w:t xml:space="preserve">les activités de NRC ayant eu lieu dans </w:t>
                </w:r>
                <w:r w:rsidR="00F31E8F" w:rsidRPr="002F4C3C">
                  <w:rPr>
                    <w:color w:val="auto"/>
                    <w:sz w:val="24"/>
                    <w:szCs w:val="24"/>
                    <w:lang w:val="fr-FR"/>
                  </w:rPr>
                  <w:t>la période d’octobre 2020 à décembre 2021</w:t>
                </w:r>
              </w:p>
              <w:p w14:paraId="5C33A6CE" w14:textId="30E8C3F6" w:rsidR="005D72FB" w:rsidRPr="002F4C3C" w:rsidRDefault="00F31E8F" w:rsidP="00F31E8F">
                <w:pPr>
                  <w:pStyle w:val="ListParagraph"/>
                  <w:numPr>
                    <w:ilvl w:val="0"/>
                    <w:numId w:val="30"/>
                  </w:numPr>
                  <w:spacing w:after="0"/>
                  <w:jc w:val="both"/>
                  <w:rPr>
                    <w:color w:val="auto"/>
                    <w:sz w:val="24"/>
                    <w:szCs w:val="24"/>
                    <w:lang w:val="fr-FR"/>
                  </w:rPr>
                </w:pPr>
                <w:r w:rsidRPr="002F4C3C">
                  <w:rPr>
                    <w:color w:val="auto"/>
                    <w:sz w:val="24"/>
                    <w:szCs w:val="24"/>
                    <w:lang w:val="fr-FR"/>
                  </w:rPr>
                  <w:t>Régions couvertes : Mopti et Tombouctou</w:t>
                </w:r>
              </w:p>
              <w:p w14:paraId="5C33A6CF" w14:textId="685F61E9" w:rsidR="005D72FB" w:rsidRPr="002F4C3C" w:rsidRDefault="005D72FB" w:rsidP="00F31E8F">
                <w:pPr>
                  <w:pStyle w:val="ListParagraph"/>
                  <w:numPr>
                    <w:ilvl w:val="0"/>
                    <w:numId w:val="30"/>
                  </w:numPr>
                  <w:spacing w:after="0"/>
                  <w:jc w:val="both"/>
                  <w:rPr>
                    <w:color w:val="auto"/>
                    <w:sz w:val="24"/>
                    <w:szCs w:val="24"/>
                    <w:lang w:val="fr-FR"/>
                  </w:rPr>
                </w:pPr>
                <w:r w:rsidRPr="002F4C3C">
                  <w:rPr>
                    <w:color w:val="auto"/>
                    <w:sz w:val="24"/>
                    <w:szCs w:val="24"/>
                    <w:lang w:val="fr-FR"/>
                  </w:rPr>
                  <w:lastRenderedPageBreak/>
                  <w:t>Projets</w:t>
                </w:r>
                <w:r w:rsidR="00F31E8F" w:rsidRPr="002F4C3C">
                  <w:rPr>
                    <w:color w:val="auto"/>
                    <w:sz w:val="24"/>
                    <w:szCs w:val="24"/>
                    <w:lang w:val="fr-FR"/>
                  </w:rPr>
                  <w:t> : MLFM2005 et MLFM1722</w:t>
                </w:r>
              </w:p>
              <w:p w14:paraId="5C33A6D0" w14:textId="5E068D03" w:rsidR="005D72FB" w:rsidRPr="002F4C3C" w:rsidRDefault="00F31E8F" w:rsidP="00F31E8F">
                <w:pPr>
                  <w:pStyle w:val="ListParagraph"/>
                  <w:numPr>
                    <w:ilvl w:val="0"/>
                    <w:numId w:val="30"/>
                  </w:numPr>
                  <w:spacing w:after="0"/>
                  <w:jc w:val="both"/>
                  <w:rPr>
                    <w:color w:val="auto"/>
                    <w:sz w:val="24"/>
                    <w:szCs w:val="24"/>
                    <w:lang w:val="fr-FR"/>
                  </w:rPr>
                </w:pPr>
                <w:r w:rsidRPr="002F4C3C">
                  <w:rPr>
                    <w:color w:val="auto"/>
                    <w:sz w:val="24"/>
                    <w:szCs w:val="24"/>
                    <w:lang w:val="fr-FR"/>
                  </w:rPr>
                  <w:t>Bailleurs : Norad et SDC</w:t>
                </w:r>
              </w:p>
              <w:p w14:paraId="5C33A6D1" w14:textId="77777777" w:rsidR="00C11051" w:rsidRPr="002F4C3C" w:rsidRDefault="00C11051" w:rsidP="007E0F48">
                <w:pPr>
                  <w:ind w:left="360" w:hanging="360"/>
                  <w:jc w:val="both"/>
                  <w:rPr>
                    <w:color w:val="auto"/>
                    <w:sz w:val="24"/>
                    <w:szCs w:val="24"/>
                    <w:lang w:val="fr-FR"/>
                  </w:rPr>
                </w:pPr>
              </w:p>
            </w:tc>
          </w:tr>
          <w:tr w:rsidR="005D72FB" w:rsidRPr="009652F5" w14:paraId="5C33A6D5" w14:textId="77777777" w:rsidTr="0A38F48B">
            <w:tc>
              <w:tcPr>
                <w:tcW w:w="9918" w:type="dxa"/>
                <w:shd w:val="clear" w:color="auto" w:fill="auto"/>
              </w:tcPr>
              <w:p w14:paraId="5C33A6D3" w14:textId="54593A52" w:rsidR="005D72FB" w:rsidRPr="009652F5" w:rsidRDefault="004A76E3" w:rsidP="005D72FB">
                <w:pPr>
                  <w:pStyle w:val="Heading2"/>
                  <w:outlineLvl w:val="1"/>
                  <w:rPr>
                    <w:lang w:val="fr-FR"/>
                  </w:rPr>
                </w:pPr>
                <w:r w:rsidRPr="009652F5">
                  <w:rPr>
                    <w:lang w:val="fr-FR"/>
                  </w:rPr>
                  <w:lastRenderedPageBreak/>
                  <w:t>Questions d’évaluation</w:t>
                </w:r>
              </w:p>
              <w:p w14:paraId="5C33A6D4" w14:textId="77777777" w:rsidR="005D72FB" w:rsidRPr="009652F5" w:rsidRDefault="005D72FB" w:rsidP="005D72FB">
                <w:pPr>
                  <w:jc w:val="both"/>
                  <w:rPr>
                    <w:color w:val="808080" w:themeColor="background1" w:themeShade="80"/>
                    <w:lang w:val="fr-FR"/>
                  </w:rPr>
                </w:pPr>
              </w:p>
            </w:tc>
          </w:tr>
          <w:tr w:rsidR="002F4C3C" w:rsidRPr="006943C6" w14:paraId="5C33A6DF" w14:textId="77777777" w:rsidTr="0A38F48B">
            <w:tc>
              <w:tcPr>
                <w:tcW w:w="9918" w:type="dxa"/>
                <w:shd w:val="clear" w:color="auto" w:fill="auto"/>
              </w:tcPr>
              <w:p w14:paraId="5E555396" w14:textId="29A5CAF9" w:rsidR="000C4B83" w:rsidRPr="00EA03DB" w:rsidRDefault="00C85163" w:rsidP="00C85163">
                <w:pPr>
                  <w:jc w:val="both"/>
                  <w:rPr>
                    <w:b/>
                    <w:color w:val="auto"/>
                    <w:sz w:val="24"/>
                    <w:szCs w:val="24"/>
                    <w:lang w:val="fr-FR"/>
                  </w:rPr>
                </w:pPr>
                <w:r w:rsidRPr="00EA03DB">
                  <w:rPr>
                    <w:b/>
                    <w:color w:val="auto"/>
                    <w:sz w:val="24"/>
                    <w:szCs w:val="24"/>
                    <w:lang w:val="fr-FR"/>
                  </w:rPr>
                  <w:t>Pertinence</w:t>
                </w:r>
                <w:r w:rsidR="000C4B83" w:rsidRPr="00EA03DB">
                  <w:rPr>
                    <w:b/>
                    <w:color w:val="auto"/>
                    <w:sz w:val="24"/>
                    <w:szCs w:val="24"/>
                    <w:lang w:val="fr-FR"/>
                  </w:rPr>
                  <w:t xml:space="preserve"> des projets</w:t>
                </w:r>
              </w:p>
              <w:p w14:paraId="27B156C9" w14:textId="3EB32BA4" w:rsidR="000C4B83" w:rsidRPr="00EA03DB" w:rsidRDefault="5E929ECB" w:rsidP="009D3C93">
                <w:pPr>
                  <w:pStyle w:val="ListParagraph"/>
                  <w:numPr>
                    <w:ilvl w:val="0"/>
                    <w:numId w:val="31"/>
                  </w:numPr>
                  <w:spacing w:after="0"/>
                  <w:jc w:val="both"/>
                  <w:rPr>
                    <w:color w:val="auto"/>
                    <w:sz w:val="24"/>
                    <w:szCs w:val="24"/>
                    <w:lang w:val="fr-FR"/>
                  </w:rPr>
                </w:pPr>
                <w:r w:rsidRPr="00EA03DB">
                  <w:rPr>
                    <w:color w:val="auto"/>
                    <w:sz w:val="24"/>
                    <w:szCs w:val="24"/>
                    <w:lang w:val="fr-FR"/>
                  </w:rPr>
                  <w:t>D</w:t>
                </w:r>
                <w:r w:rsidR="2653B097" w:rsidRPr="00EA03DB">
                  <w:rPr>
                    <w:color w:val="auto"/>
                    <w:sz w:val="24"/>
                    <w:szCs w:val="24"/>
                    <w:lang w:val="fr-FR"/>
                  </w:rPr>
                  <w:t xml:space="preserve">ans quelle mesure la conception </w:t>
                </w:r>
                <w:r w:rsidRPr="00EA03DB">
                  <w:rPr>
                    <w:color w:val="auto"/>
                    <w:sz w:val="24"/>
                    <w:szCs w:val="24"/>
                    <w:lang w:val="fr-FR"/>
                  </w:rPr>
                  <w:t xml:space="preserve">des projets </w:t>
                </w:r>
                <w:r w:rsidR="2653B097" w:rsidRPr="00EA03DB">
                  <w:rPr>
                    <w:color w:val="auto"/>
                    <w:sz w:val="24"/>
                    <w:szCs w:val="24"/>
                    <w:lang w:val="fr-FR"/>
                  </w:rPr>
                  <w:t>était-elle pertinente pour garantir l'accès à l'éducation des enfants et des jeunes les plus vulnérables touchés par le</w:t>
                </w:r>
                <w:r w:rsidRPr="00EA03DB">
                  <w:rPr>
                    <w:color w:val="auto"/>
                    <w:sz w:val="24"/>
                    <w:szCs w:val="24"/>
                    <w:lang w:val="fr-FR"/>
                  </w:rPr>
                  <w:t>s</w:t>
                </w:r>
                <w:r w:rsidR="2653B097" w:rsidRPr="00EA03DB">
                  <w:rPr>
                    <w:color w:val="auto"/>
                    <w:sz w:val="24"/>
                    <w:szCs w:val="24"/>
                    <w:lang w:val="fr-FR"/>
                  </w:rPr>
                  <w:t xml:space="preserve"> conflit</w:t>
                </w:r>
                <w:r w:rsidRPr="00EA03DB">
                  <w:rPr>
                    <w:color w:val="auto"/>
                    <w:sz w:val="24"/>
                    <w:szCs w:val="24"/>
                    <w:lang w:val="fr-FR"/>
                  </w:rPr>
                  <w:t>s/crises ?</w:t>
                </w:r>
              </w:p>
              <w:p w14:paraId="5BC44A57" w14:textId="7F0AB661" w:rsidR="0A38F48B" w:rsidRPr="00EA03DB" w:rsidRDefault="0A38F48B" w:rsidP="0A38F48B">
                <w:pPr>
                  <w:pStyle w:val="ListParagraph"/>
                  <w:numPr>
                    <w:ilvl w:val="0"/>
                    <w:numId w:val="31"/>
                  </w:numPr>
                  <w:spacing w:after="0"/>
                  <w:jc w:val="both"/>
                  <w:rPr>
                    <w:rFonts w:eastAsiaTheme="minorEastAsia"/>
                    <w:sz w:val="24"/>
                    <w:szCs w:val="24"/>
                    <w:lang w:val="fr-FR"/>
                  </w:rPr>
                </w:pPr>
              </w:p>
              <w:p w14:paraId="5EAE2C7E" w14:textId="77777777" w:rsidR="000C4B83" w:rsidRPr="00EA03DB" w:rsidRDefault="000C4B83" w:rsidP="00C85163">
                <w:pPr>
                  <w:jc w:val="both"/>
                  <w:rPr>
                    <w:color w:val="auto"/>
                    <w:sz w:val="24"/>
                    <w:szCs w:val="24"/>
                    <w:lang w:val="fr-FR"/>
                  </w:rPr>
                </w:pPr>
              </w:p>
              <w:p w14:paraId="1999174B" w14:textId="186ED976" w:rsidR="000C4B83" w:rsidRPr="00EA03DB" w:rsidRDefault="000C4B83" w:rsidP="00C85163">
                <w:pPr>
                  <w:jc w:val="both"/>
                  <w:rPr>
                    <w:b/>
                    <w:color w:val="auto"/>
                    <w:sz w:val="24"/>
                    <w:szCs w:val="24"/>
                    <w:lang w:val="fr-FR"/>
                  </w:rPr>
                </w:pPr>
                <w:r w:rsidRPr="00EA03DB">
                  <w:rPr>
                    <w:b/>
                    <w:color w:val="auto"/>
                    <w:sz w:val="24"/>
                    <w:szCs w:val="24"/>
                    <w:lang w:val="fr-FR"/>
                  </w:rPr>
                  <w:t>Résultats des projets</w:t>
                </w:r>
              </w:p>
              <w:p w14:paraId="749FFDA8" w14:textId="59039D66" w:rsidR="009D3C93" w:rsidRPr="00EA03DB" w:rsidRDefault="00C85163" w:rsidP="009D3C93">
                <w:pPr>
                  <w:pStyle w:val="ListParagraph"/>
                  <w:numPr>
                    <w:ilvl w:val="0"/>
                    <w:numId w:val="32"/>
                  </w:numPr>
                  <w:spacing w:after="0"/>
                  <w:jc w:val="both"/>
                  <w:rPr>
                    <w:color w:val="auto"/>
                    <w:sz w:val="24"/>
                    <w:szCs w:val="24"/>
                    <w:lang w:val="fr-FR"/>
                  </w:rPr>
                </w:pPr>
                <w:r w:rsidRPr="00EA03DB">
                  <w:rPr>
                    <w:color w:val="auto"/>
                    <w:sz w:val="24"/>
                    <w:szCs w:val="24"/>
                    <w:lang w:val="fr-FR"/>
                  </w:rPr>
                  <w:t>Le</w:t>
                </w:r>
                <w:r w:rsidR="000C4B83" w:rsidRPr="00EA03DB">
                  <w:rPr>
                    <w:color w:val="auto"/>
                    <w:sz w:val="24"/>
                    <w:szCs w:val="24"/>
                    <w:lang w:val="fr-FR"/>
                  </w:rPr>
                  <w:t>s projets ont-</w:t>
                </w:r>
                <w:r w:rsidRPr="00EA03DB">
                  <w:rPr>
                    <w:color w:val="auto"/>
                    <w:sz w:val="24"/>
                    <w:szCs w:val="24"/>
                    <w:lang w:val="fr-FR"/>
                  </w:rPr>
                  <w:t>il</w:t>
                </w:r>
                <w:r w:rsidR="000C4B83" w:rsidRPr="00EA03DB">
                  <w:rPr>
                    <w:color w:val="auto"/>
                    <w:sz w:val="24"/>
                    <w:szCs w:val="24"/>
                    <w:lang w:val="fr-FR"/>
                  </w:rPr>
                  <w:t>s</w:t>
                </w:r>
                <w:r w:rsidRPr="00EA03DB">
                  <w:rPr>
                    <w:color w:val="auto"/>
                    <w:sz w:val="24"/>
                    <w:szCs w:val="24"/>
                    <w:lang w:val="fr-FR"/>
                  </w:rPr>
                  <w:t xml:space="preserve"> été efficace</w:t>
                </w:r>
                <w:r w:rsidR="000C4B83" w:rsidRPr="00EA03DB">
                  <w:rPr>
                    <w:color w:val="auto"/>
                    <w:sz w:val="24"/>
                    <w:szCs w:val="24"/>
                    <w:lang w:val="fr-FR"/>
                  </w:rPr>
                  <w:t>s</w:t>
                </w:r>
                <w:r w:rsidRPr="00EA03DB">
                  <w:rPr>
                    <w:color w:val="auto"/>
                    <w:sz w:val="24"/>
                    <w:szCs w:val="24"/>
                    <w:lang w:val="fr-FR"/>
                  </w:rPr>
                  <w:t xml:space="preserve"> pour atteindre </w:t>
                </w:r>
                <w:r w:rsidR="00702AE2" w:rsidRPr="00EA03DB">
                  <w:rPr>
                    <w:color w:val="auto"/>
                    <w:sz w:val="24"/>
                    <w:szCs w:val="24"/>
                    <w:lang w:val="fr-FR"/>
                  </w:rPr>
                  <w:t xml:space="preserve">les </w:t>
                </w:r>
                <w:r w:rsidRPr="00EA03DB">
                  <w:rPr>
                    <w:color w:val="auto"/>
                    <w:sz w:val="24"/>
                    <w:szCs w:val="24"/>
                    <w:lang w:val="fr-FR"/>
                  </w:rPr>
                  <w:t xml:space="preserve">résultats </w:t>
                </w:r>
                <w:r w:rsidR="00702AE2" w:rsidRPr="00EA03DB">
                  <w:rPr>
                    <w:color w:val="auto"/>
                    <w:sz w:val="24"/>
                    <w:szCs w:val="24"/>
                    <w:lang w:val="fr-FR"/>
                  </w:rPr>
                  <w:t xml:space="preserve">attendus </w:t>
                </w:r>
                <w:r w:rsidRPr="00EA03DB">
                  <w:rPr>
                    <w:color w:val="auto"/>
                    <w:sz w:val="24"/>
                    <w:szCs w:val="24"/>
                    <w:lang w:val="fr-FR"/>
                  </w:rPr>
                  <w:t xml:space="preserve">en termes </w:t>
                </w:r>
                <w:r w:rsidR="002F4C3C" w:rsidRPr="00EA03DB">
                  <w:rPr>
                    <w:color w:val="auto"/>
                    <w:sz w:val="24"/>
                    <w:szCs w:val="24"/>
                    <w:lang w:val="fr-FR"/>
                  </w:rPr>
                  <w:t xml:space="preserve">d’accès </w:t>
                </w:r>
                <w:r w:rsidRPr="00EA03DB">
                  <w:rPr>
                    <w:color w:val="auto"/>
                    <w:sz w:val="24"/>
                    <w:szCs w:val="24"/>
                    <w:lang w:val="fr-FR"/>
                  </w:rPr>
                  <w:t>de</w:t>
                </w:r>
                <w:r w:rsidR="002F4C3C" w:rsidRPr="00EA03DB">
                  <w:rPr>
                    <w:color w:val="auto"/>
                    <w:sz w:val="24"/>
                    <w:szCs w:val="24"/>
                    <w:lang w:val="fr-FR"/>
                  </w:rPr>
                  <w:t xml:space="preserve">s </w:t>
                </w:r>
                <w:r w:rsidR="00702AE2" w:rsidRPr="00EA03DB">
                  <w:rPr>
                    <w:color w:val="auto"/>
                    <w:sz w:val="24"/>
                    <w:szCs w:val="24"/>
                    <w:lang w:val="fr-FR"/>
                  </w:rPr>
                  <w:t xml:space="preserve">enfants </w:t>
                </w:r>
                <w:r w:rsidR="002F4C3C" w:rsidRPr="00EA03DB">
                  <w:rPr>
                    <w:color w:val="auto"/>
                    <w:sz w:val="24"/>
                    <w:szCs w:val="24"/>
                    <w:lang w:val="fr-FR"/>
                  </w:rPr>
                  <w:t>déscolarisés et non-scolarisés à une éduction formelle </w:t>
                </w:r>
                <w:r w:rsidR="00712779" w:rsidRPr="00EA03DB">
                  <w:rPr>
                    <w:color w:val="auto"/>
                    <w:sz w:val="24"/>
                    <w:szCs w:val="24"/>
                    <w:lang w:val="fr-FR"/>
                  </w:rPr>
                  <w:t xml:space="preserve">et des jeunes aux moyens d’existence </w:t>
                </w:r>
                <w:r w:rsidR="002F4C3C" w:rsidRPr="00EA03DB">
                  <w:rPr>
                    <w:color w:val="auto"/>
                    <w:sz w:val="24"/>
                    <w:szCs w:val="24"/>
                    <w:lang w:val="fr-FR"/>
                  </w:rPr>
                  <w:t xml:space="preserve">? </w:t>
                </w:r>
              </w:p>
              <w:p w14:paraId="6C7C86CD" w14:textId="7ABA3D20" w:rsidR="009D3C93" w:rsidRPr="00EA03DB" w:rsidRDefault="002F4C3C" w:rsidP="009D3C93">
                <w:pPr>
                  <w:pStyle w:val="ListParagraph"/>
                  <w:numPr>
                    <w:ilvl w:val="0"/>
                    <w:numId w:val="32"/>
                  </w:numPr>
                  <w:spacing w:after="0"/>
                  <w:jc w:val="both"/>
                  <w:rPr>
                    <w:color w:val="auto"/>
                    <w:sz w:val="24"/>
                    <w:szCs w:val="24"/>
                    <w:lang w:val="fr-FR"/>
                  </w:rPr>
                </w:pPr>
                <w:r w:rsidRPr="00EA03DB">
                  <w:rPr>
                    <w:color w:val="auto"/>
                    <w:sz w:val="24"/>
                    <w:szCs w:val="24"/>
                    <w:lang w:val="fr-FR"/>
                  </w:rPr>
                  <w:t>Est-ce que les projets ont été en mesure de fournir une protection légale à travers l’accès à la documentation civile ?</w:t>
                </w:r>
              </w:p>
              <w:p w14:paraId="18C3D38A" w14:textId="55C7E41E" w:rsidR="006237B5" w:rsidRPr="00EA03DB" w:rsidRDefault="28A4791E" w:rsidP="009D3C93">
                <w:pPr>
                  <w:pStyle w:val="ListParagraph"/>
                  <w:numPr>
                    <w:ilvl w:val="0"/>
                    <w:numId w:val="32"/>
                  </w:numPr>
                  <w:spacing w:after="0"/>
                  <w:jc w:val="both"/>
                  <w:rPr>
                    <w:color w:val="auto"/>
                    <w:sz w:val="24"/>
                    <w:szCs w:val="24"/>
                    <w:lang w:val="fr-FR"/>
                  </w:rPr>
                </w:pPr>
                <w:r w:rsidRPr="00EA03DB">
                  <w:rPr>
                    <w:color w:val="auto"/>
                    <w:sz w:val="24"/>
                    <w:szCs w:val="24"/>
                    <w:lang w:val="fr-FR"/>
                  </w:rPr>
                  <w:t xml:space="preserve">Est-ce que les projets ont permis </w:t>
                </w:r>
                <w:r w:rsidR="12EBFFDC" w:rsidRPr="00EA03DB">
                  <w:rPr>
                    <w:color w:val="auto"/>
                    <w:sz w:val="24"/>
                    <w:szCs w:val="24"/>
                    <w:lang w:val="fr-FR"/>
                  </w:rPr>
                  <w:t>aux enfants d’apprendre dans des conditions adéquates (santé, sécurité et sureté) ?</w:t>
                </w:r>
              </w:p>
              <w:p w14:paraId="1066423D" w14:textId="28654A8F" w:rsidR="004141C4" w:rsidRPr="00EA03DB" w:rsidRDefault="004141C4" w:rsidP="00712779">
                <w:pPr>
                  <w:jc w:val="both"/>
                  <w:rPr>
                    <w:lang w:val="fr-FR"/>
                  </w:rPr>
                </w:pPr>
              </w:p>
              <w:p w14:paraId="50EA1AF4" w14:textId="614F454B" w:rsidR="004141C4" w:rsidRPr="00EA03DB" w:rsidRDefault="004141C4" w:rsidP="00712779">
                <w:pPr>
                  <w:jc w:val="both"/>
                  <w:rPr>
                    <w:rFonts w:eastAsiaTheme="minorEastAsia"/>
                    <w:b/>
                    <w:color w:val="auto"/>
                    <w:sz w:val="24"/>
                    <w:szCs w:val="24"/>
                    <w:lang w:val="fr-FR"/>
                  </w:rPr>
                </w:pPr>
                <w:r w:rsidRPr="00EA03DB">
                  <w:rPr>
                    <w:b/>
                    <w:sz w:val="24"/>
                    <w:szCs w:val="24"/>
                    <w:lang w:val="fr-FR"/>
                  </w:rPr>
                  <w:t>Durabilité</w:t>
                </w:r>
              </w:p>
              <w:p w14:paraId="64BCB7E4" w14:textId="77777777" w:rsidR="004141C4" w:rsidRPr="00EA03DB" w:rsidRDefault="004141C4" w:rsidP="004141C4">
                <w:pPr>
                  <w:pStyle w:val="ListParagraph"/>
                  <w:numPr>
                    <w:ilvl w:val="0"/>
                    <w:numId w:val="32"/>
                  </w:numPr>
                  <w:spacing w:after="0"/>
                  <w:jc w:val="both"/>
                  <w:rPr>
                    <w:rFonts w:eastAsiaTheme="minorEastAsia"/>
                    <w:color w:val="auto"/>
                    <w:sz w:val="24"/>
                    <w:szCs w:val="24"/>
                    <w:lang w:val="fr-FR"/>
                  </w:rPr>
                </w:pPr>
                <w:r w:rsidRPr="00EA03DB">
                  <w:rPr>
                    <w:color w:val="auto"/>
                    <w:sz w:val="24"/>
                    <w:szCs w:val="24"/>
                    <w:lang w:val="fr-FR"/>
                  </w:rPr>
                  <w:t xml:space="preserve">Y a-t-il des aspects tangibles des interventions mises en œuvre qui offrent des possibilités de durabilité des résultats obtenus ? </w:t>
                </w:r>
              </w:p>
              <w:p w14:paraId="621256EC" w14:textId="0E6A0DB6" w:rsidR="0A38F48B" w:rsidRPr="00EA03DB" w:rsidRDefault="0A38F48B" w:rsidP="004141C4">
                <w:pPr>
                  <w:pStyle w:val="ListParagraph"/>
                  <w:numPr>
                    <w:ilvl w:val="0"/>
                    <w:numId w:val="32"/>
                  </w:numPr>
                  <w:spacing w:after="0"/>
                  <w:jc w:val="both"/>
                  <w:rPr>
                    <w:rFonts w:eastAsiaTheme="minorEastAsia"/>
                    <w:color w:val="auto"/>
                    <w:sz w:val="24"/>
                    <w:szCs w:val="24"/>
                    <w:lang w:val="fr-FR"/>
                  </w:rPr>
                </w:pPr>
                <w:r w:rsidRPr="00EA03DB">
                  <w:rPr>
                    <w:color w:val="auto"/>
                    <w:sz w:val="24"/>
                    <w:szCs w:val="24"/>
                    <w:lang w:val="fr-FR"/>
                  </w:rPr>
                  <w:t>Est-ce-que le service apporté par un secteur a influencé positivement le résultat d’un autre secteur (CC)</w:t>
                </w:r>
                <w:r w:rsidR="005A231A" w:rsidRPr="00EA03DB">
                  <w:rPr>
                    <w:color w:val="auto"/>
                    <w:sz w:val="24"/>
                    <w:szCs w:val="24"/>
                    <w:lang w:val="fr-FR"/>
                  </w:rPr>
                  <w:t> ?</w:t>
                </w:r>
              </w:p>
              <w:p w14:paraId="2914199F" w14:textId="5262D3F0" w:rsidR="0A38F48B" w:rsidRPr="00621C3C" w:rsidRDefault="0A38F48B" w:rsidP="0A38F48B">
                <w:pPr>
                  <w:pStyle w:val="ListParagraph"/>
                  <w:numPr>
                    <w:ilvl w:val="0"/>
                    <w:numId w:val="32"/>
                  </w:numPr>
                  <w:spacing w:after="0"/>
                  <w:jc w:val="both"/>
                  <w:rPr>
                    <w:sz w:val="24"/>
                    <w:szCs w:val="24"/>
                    <w:lang w:val="fr-FR"/>
                  </w:rPr>
                </w:pPr>
                <w:r w:rsidRPr="00621C3C">
                  <w:rPr>
                    <w:sz w:val="24"/>
                    <w:szCs w:val="24"/>
                    <w:lang w:val="fr-FR"/>
                  </w:rPr>
                  <w:t xml:space="preserve">Est-ce que les projets ont contribué à </w:t>
                </w:r>
                <w:r w:rsidR="00DA0F6C" w:rsidRPr="00621C3C">
                  <w:rPr>
                    <w:sz w:val="24"/>
                    <w:szCs w:val="24"/>
                    <w:lang w:val="fr-FR"/>
                  </w:rPr>
                  <w:t xml:space="preserve">l’obtention </w:t>
                </w:r>
                <w:r w:rsidRPr="00621C3C">
                  <w:rPr>
                    <w:sz w:val="24"/>
                    <w:szCs w:val="24"/>
                    <w:lang w:val="fr-FR"/>
                  </w:rPr>
                  <w:t xml:space="preserve">des solutions durables pour les </w:t>
                </w:r>
                <w:r w:rsidR="00621C3C" w:rsidRPr="00621C3C">
                  <w:rPr>
                    <w:sz w:val="24"/>
                    <w:szCs w:val="24"/>
                    <w:lang w:val="fr-FR"/>
                  </w:rPr>
                  <w:t>personnes déplacées</w:t>
                </w:r>
                <w:r w:rsidRPr="00621C3C">
                  <w:rPr>
                    <w:sz w:val="24"/>
                    <w:szCs w:val="24"/>
                    <w:lang w:val="fr-FR"/>
                  </w:rPr>
                  <w:t>?</w:t>
                </w:r>
              </w:p>
              <w:p w14:paraId="6F52C902" w14:textId="77777777" w:rsidR="006237B5" w:rsidRPr="00EA03DB" w:rsidRDefault="006237B5" w:rsidP="00C85163">
                <w:pPr>
                  <w:jc w:val="both"/>
                  <w:rPr>
                    <w:color w:val="auto"/>
                    <w:sz w:val="24"/>
                    <w:szCs w:val="24"/>
                    <w:lang w:val="fr-FR"/>
                  </w:rPr>
                </w:pPr>
              </w:p>
              <w:p w14:paraId="5C33A6D9" w14:textId="724DC6C7" w:rsidR="005D72FB" w:rsidRPr="00EA03DB" w:rsidRDefault="00C85163" w:rsidP="005D72FB">
                <w:pPr>
                  <w:jc w:val="both"/>
                  <w:rPr>
                    <w:b/>
                    <w:color w:val="auto"/>
                    <w:sz w:val="24"/>
                    <w:szCs w:val="24"/>
                    <w:lang w:val="fr-FR"/>
                  </w:rPr>
                </w:pPr>
                <w:r w:rsidRPr="00EA03DB">
                  <w:rPr>
                    <w:b/>
                    <w:color w:val="auto"/>
                    <w:sz w:val="24"/>
                    <w:szCs w:val="24"/>
                    <w:lang w:val="fr-FR"/>
                  </w:rPr>
                  <w:t>Intégration</w:t>
                </w:r>
              </w:p>
              <w:p w14:paraId="70D6E8D3" w14:textId="26D5D8EB" w:rsidR="009D3C93" w:rsidRPr="00EA03DB" w:rsidRDefault="009D3C93" w:rsidP="008F2FB9">
                <w:pPr>
                  <w:pStyle w:val="ListParagraph"/>
                  <w:numPr>
                    <w:ilvl w:val="0"/>
                    <w:numId w:val="33"/>
                  </w:numPr>
                  <w:spacing w:after="0"/>
                  <w:jc w:val="both"/>
                  <w:rPr>
                    <w:color w:val="auto"/>
                    <w:sz w:val="24"/>
                    <w:szCs w:val="24"/>
                    <w:lang w:val="fr-FR"/>
                  </w:rPr>
                </w:pPr>
                <w:r w:rsidRPr="00EA03DB">
                  <w:rPr>
                    <w:color w:val="auto"/>
                    <w:sz w:val="24"/>
                    <w:szCs w:val="24"/>
                    <w:lang w:val="fr-FR"/>
                  </w:rPr>
                  <w:t>Est-ce que les programmes</w:t>
                </w:r>
                <w:r w:rsidR="005D100E" w:rsidRPr="00EA03DB">
                  <w:rPr>
                    <w:color w:val="auto"/>
                    <w:sz w:val="24"/>
                    <w:szCs w:val="24"/>
                    <w:lang w:val="fr-FR"/>
                  </w:rPr>
                  <w:t xml:space="preserve"> (</w:t>
                </w:r>
                <w:r w:rsidR="00712779" w:rsidRPr="00EA03DB">
                  <w:rPr>
                    <w:color w:val="auto"/>
                    <w:sz w:val="24"/>
                    <w:szCs w:val="24"/>
                    <w:lang w:val="fr-FR"/>
                  </w:rPr>
                  <w:t>CC)</w:t>
                </w:r>
                <w:r w:rsidRPr="00EA03DB">
                  <w:rPr>
                    <w:color w:val="auto"/>
                    <w:sz w:val="24"/>
                    <w:szCs w:val="24"/>
                    <w:lang w:val="fr-FR"/>
                  </w:rPr>
                  <w:t xml:space="preserve"> ont ciblé les mêmes zones, les mêmes bénéficiaires avec des critères de sélection communs / harmonisés ?</w:t>
                </w:r>
              </w:p>
              <w:p w14:paraId="179ED998" w14:textId="207EBBAF" w:rsidR="009D3C93" w:rsidRPr="00EA03DB" w:rsidRDefault="7BE01C7E" w:rsidP="009D3C93">
                <w:pPr>
                  <w:pStyle w:val="ListParagraph"/>
                  <w:numPr>
                    <w:ilvl w:val="0"/>
                    <w:numId w:val="33"/>
                  </w:numPr>
                  <w:spacing w:after="0"/>
                  <w:jc w:val="both"/>
                  <w:rPr>
                    <w:color w:val="auto"/>
                    <w:sz w:val="24"/>
                    <w:szCs w:val="24"/>
                    <w:lang w:val="fr-FR"/>
                  </w:rPr>
                </w:pPr>
                <w:r w:rsidRPr="00EA03DB">
                  <w:rPr>
                    <w:color w:val="auto"/>
                    <w:sz w:val="24"/>
                    <w:szCs w:val="24"/>
                    <w:lang w:val="fr-FR"/>
                  </w:rPr>
                  <w:t>Est-ce</w:t>
                </w:r>
                <w:r w:rsidR="005A231A" w:rsidRPr="00EA03DB">
                  <w:rPr>
                    <w:color w:val="auto"/>
                    <w:sz w:val="24"/>
                    <w:szCs w:val="24"/>
                    <w:lang w:val="fr-FR"/>
                  </w:rPr>
                  <w:t xml:space="preserve"> que </w:t>
                </w:r>
                <w:r w:rsidRPr="00EA03DB">
                  <w:rPr>
                    <w:color w:val="auto"/>
                    <w:sz w:val="24"/>
                    <w:szCs w:val="24"/>
                    <w:lang w:val="fr-FR"/>
                  </w:rPr>
                  <w:t>les programmes ont effectué des analyses globale</w:t>
                </w:r>
                <w:r w:rsidR="005A231A" w:rsidRPr="00EA03DB">
                  <w:rPr>
                    <w:color w:val="auto"/>
                    <w:sz w:val="24"/>
                    <w:szCs w:val="24"/>
                    <w:lang w:val="fr-FR"/>
                  </w:rPr>
                  <w:t>s</w:t>
                </w:r>
                <w:r w:rsidRPr="00EA03DB">
                  <w:rPr>
                    <w:color w:val="auto"/>
                    <w:sz w:val="24"/>
                    <w:szCs w:val="24"/>
                    <w:lang w:val="fr-FR"/>
                  </w:rPr>
                  <w:t xml:space="preserve"> et transversales </w:t>
                </w:r>
                <w:r w:rsidR="005D100E" w:rsidRPr="00EA03DB">
                  <w:rPr>
                    <w:color w:val="auto"/>
                    <w:sz w:val="24"/>
                    <w:szCs w:val="24"/>
                    <w:lang w:val="fr-FR"/>
                  </w:rPr>
                  <w:t xml:space="preserve">conjointes </w:t>
                </w:r>
                <w:r w:rsidRPr="00EA03DB">
                  <w:rPr>
                    <w:color w:val="auto"/>
                    <w:sz w:val="24"/>
                    <w:szCs w:val="24"/>
                    <w:lang w:val="fr-FR"/>
                  </w:rPr>
                  <w:t xml:space="preserve">des problèmes au niveau </w:t>
                </w:r>
                <w:r w:rsidR="005A231A" w:rsidRPr="00EA03DB">
                  <w:rPr>
                    <w:color w:val="auto"/>
                    <w:sz w:val="24"/>
                    <w:szCs w:val="24"/>
                    <w:lang w:val="fr-FR"/>
                  </w:rPr>
                  <w:t xml:space="preserve">du </w:t>
                </w:r>
                <w:r w:rsidRPr="00EA03DB">
                  <w:rPr>
                    <w:color w:val="auto"/>
                    <w:sz w:val="24"/>
                    <w:szCs w:val="24"/>
                    <w:lang w:val="fr-FR"/>
                  </w:rPr>
                  <w:t>terrain ?</w:t>
                </w:r>
              </w:p>
              <w:p w14:paraId="3225F720" w14:textId="38F2F6BA" w:rsidR="009D3C93" w:rsidRPr="00EA03DB" w:rsidRDefault="009D3C93" w:rsidP="009D3C93">
                <w:pPr>
                  <w:pStyle w:val="ListParagraph"/>
                  <w:numPr>
                    <w:ilvl w:val="0"/>
                    <w:numId w:val="33"/>
                  </w:numPr>
                  <w:spacing w:after="0"/>
                  <w:jc w:val="both"/>
                  <w:rPr>
                    <w:color w:val="auto"/>
                    <w:sz w:val="24"/>
                    <w:szCs w:val="24"/>
                    <w:lang w:val="fr-FR"/>
                  </w:rPr>
                </w:pPr>
                <w:r w:rsidRPr="00EA03DB">
                  <w:rPr>
                    <w:color w:val="auto"/>
                    <w:sz w:val="24"/>
                    <w:szCs w:val="24"/>
                    <w:lang w:val="fr-FR"/>
                  </w:rPr>
                  <w:t>Est-ce que les programmes ont des planifications et une mise en œuvre alignées sur des objectifs et des résultats communs</w:t>
                </w:r>
                <w:r w:rsidR="005A231A" w:rsidRPr="00EA03DB">
                  <w:rPr>
                    <w:color w:val="auto"/>
                    <w:sz w:val="24"/>
                    <w:szCs w:val="24"/>
                    <w:lang w:val="fr-FR"/>
                  </w:rPr>
                  <w:t> ?</w:t>
                </w:r>
              </w:p>
              <w:p w14:paraId="702149D1" w14:textId="166B2183" w:rsidR="009D3C93" w:rsidRPr="00EA03DB" w:rsidRDefault="7BE01C7E" w:rsidP="009D3C93">
                <w:pPr>
                  <w:pStyle w:val="ListParagraph"/>
                  <w:numPr>
                    <w:ilvl w:val="0"/>
                    <w:numId w:val="33"/>
                  </w:numPr>
                  <w:spacing w:after="0"/>
                  <w:jc w:val="both"/>
                  <w:rPr>
                    <w:color w:val="auto"/>
                    <w:sz w:val="24"/>
                    <w:szCs w:val="24"/>
                    <w:lang w:val="fr-FR"/>
                  </w:rPr>
                </w:pPr>
                <w:r w:rsidRPr="00EA03DB">
                  <w:rPr>
                    <w:color w:val="auto"/>
                    <w:sz w:val="24"/>
                    <w:szCs w:val="24"/>
                    <w:lang w:val="fr-FR"/>
                  </w:rPr>
                  <w:t xml:space="preserve">Est-ce que la coordination des interventions et la communication intersectorielle et interservices </w:t>
                </w:r>
                <w:r w:rsidR="6199257B" w:rsidRPr="00EA03DB">
                  <w:rPr>
                    <w:color w:val="auto"/>
                    <w:sz w:val="24"/>
                    <w:szCs w:val="24"/>
                    <w:lang w:val="fr-FR"/>
                  </w:rPr>
                  <w:t xml:space="preserve">ont été </w:t>
                </w:r>
                <w:r w:rsidRPr="00EA03DB">
                  <w:rPr>
                    <w:color w:val="auto"/>
                    <w:sz w:val="24"/>
                    <w:szCs w:val="24"/>
                    <w:lang w:val="fr-FR"/>
                  </w:rPr>
                  <w:t>efficiente</w:t>
                </w:r>
                <w:r w:rsidR="005A231A" w:rsidRPr="00EA03DB">
                  <w:rPr>
                    <w:color w:val="auto"/>
                    <w:sz w:val="24"/>
                    <w:szCs w:val="24"/>
                    <w:lang w:val="fr-FR"/>
                  </w:rPr>
                  <w:t>s</w:t>
                </w:r>
                <w:r w:rsidRPr="00EA03DB">
                  <w:rPr>
                    <w:color w:val="auto"/>
                    <w:sz w:val="24"/>
                    <w:szCs w:val="24"/>
                    <w:lang w:val="fr-FR"/>
                  </w:rPr>
                  <w:t xml:space="preserve"> et de qualité</w:t>
                </w:r>
                <w:r w:rsidR="6199257B" w:rsidRPr="00EA03DB">
                  <w:rPr>
                    <w:color w:val="auto"/>
                    <w:sz w:val="24"/>
                    <w:szCs w:val="24"/>
                    <w:lang w:val="fr-FR"/>
                  </w:rPr>
                  <w:t xml:space="preserve"> entres les</w:t>
                </w:r>
                <w:r w:rsidR="005D100E" w:rsidRPr="00EA03DB">
                  <w:rPr>
                    <w:color w:val="auto"/>
                    <w:sz w:val="24"/>
                    <w:szCs w:val="24"/>
                    <w:lang w:val="fr-FR"/>
                  </w:rPr>
                  <w:t xml:space="preserve"> équipes</w:t>
                </w:r>
                <w:r w:rsidR="6199257B" w:rsidRPr="00EA03DB">
                  <w:rPr>
                    <w:color w:val="auto"/>
                    <w:sz w:val="24"/>
                    <w:szCs w:val="24"/>
                    <w:lang w:val="fr-FR"/>
                  </w:rPr>
                  <w:t xml:space="preserve"> programmes et les services supports</w:t>
                </w:r>
                <w:r w:rsidR="005D100E" w:rsidRPr="00EA03DB">
                  <w:rPr>
                    <w:color w:val="auto"/>
                    <w:sz w:val="24"/>
                    <w:szCs w:val="24"/>
                    <w:lang w:val="fr-FR"/>
                  </w:rPr>
                  <w:t xml:space="preserve"> de NRC</w:t>
                </w:r>
                <w:r w:rsidR="6199257B" w:rsidRPr="00EA03DB">
                  <w:rPr>
                    <w:color w:val="auto"/>
                    <w:sz w:val="24"/>
                    <w:szCs w:val="24"/>
                    <w:lang w:val="fr-FR"/>
                  </w:rPr>
                  <w:t> ?</w:t>
                </w:r>
              </w:p>
              <w:p w14:paraId="2CCFAD51" w14:textId="5BF0025A" w:rsidR="006237B5" w:rsidRPr="00EA03DB" w:rsidRDefault="0A38F48B" w:rsidP="0A38F48B">
                <w:pPr>
                  <w:pStyle w:val="ListParagraph"/>
                  <w:numPr>
                    <w:ilvl w:val="0"/>
                    <w:numId w:val="33"/>
                  </w:numPr>
                  <w:spacing w:after="0"/>
                  <w:jc w:val="both"/>
                  <w:rPr>
                    <w:color w:val="auto"/>
                    <w:sz w:val="24"/>
                    <w:szCs w:val="24"/>
                    <w:lang w:val="fr-FR"/>
                  </w:rPr>
                </w:pPr>
                <w:r w:rsidRPr="00EA03DB">
                  <w:rPr>
                    <w:color w:val="auto"/>
                    <w:sz w:val="24"/>
                    <w:szCs w:val="24"/>
                    <w:lang w:val="fr-FR"/>
                  </w:rPr>
                  <w:t xml:space="preserve">Quels </w:t>
                </w:r>
                <w:r w:rsidR="005A231A" w:rsidRPr="00EA03DB">
                  <w:rPr>
                    <w:color w:val="auto"/>
                    <w:sz w:val="24"/>
                    <w:szCs w:val="24"/>
                    <w:lang w:val="fr-FR"/>
                  </w:rPr>
                  <w:t>s</w:t>
                </w:r>
                <w:r w:rsidRPr="00EA03DB">
                  <w:rPr>
                    <w:color w:val="auto"/>
                    <w:sz w:val="24"/>
                    <w:szCs w:val="24"/>
                    <w:lang w:val="fr-FR"/>
                  </w:rPr>
                  <w:t>ont les facteurs internes et externes ayant facilité ou handicapé l’intégration?</w:t>
                </w:r>
              </w:p>
              <w:p w14:paraId="42D10B26" w14:textId="77777777" w:rsidR="00712779" w:rsidRPr="00EA03DB" w:rsidRDefault="00712779" w:rsidP="00EA03DB">
                <w:pPr>
                  <w:pStyle w:val="ListParagraph"/>
                  <w:numPr>
                    <w:ilvl w:val="0"/>
                    <w:numId w:val="0"/>
                  </w:numPr>
                  <w:spacing w:after="0"/>
                  <w:ind w:left="720"/>
                  <w:jc w:val="both"/>
                  <w:rPr>
                    <w:color w:val="auto"/>
                    <w:sz w:val="24"/>
                    <w:szCs w:val="24"/>
                    <w:lang w:val="fr-FR"/>
                  </w:rPr>
                </w:pPr>
              </w:p>
              <w:p w14:paraId="3AE4221A" w14:textId="77777777" w:rsidR="006237B5" w:rsidRPr="00EA03DB" w:rsidRDefault="006237B5" w:rsidP="005D72FB">
                <w:pPr>
                  <w:jc w:val="both"/>
                  <w:rPr>
                    <w:b/>
                    <w:color w:val="auto"/>
                    <w:sz w:val="24"/>
                    <w:szCs w:val="24"/>
                    <w:lang w:val="fr-FR"/>
                  </w:rPr>
                </w:pPr>
                <w:r w:rsidRPr="00EA03DB">
                  <w:rPr>
                    <w:b/>
                    <w:color w:val="auto"/>
                    <w:sz w:val="24"/>
                    <w:szCs w:val="24"/>
                    <w:lang w:val="fr-FR"/>
                  </w:rPr>
                  <w:t>Genre</w:t>
                </w:r>
              </w:p>
              <w:p w14:paraId="08A0499D" w14:textId="3FAC380A" w:rsidR="00F9596D" w:rsidRPr="00EA03DB" w:rsidRDefault="00F9596D" w:rsidP="00691078">
                <w:pPr>
                  <w:pStyle w:val="ListParagraph"/>
                  <w:numPr>
                    <w:ilvl w:val="0"/>
                    <w:numId w:val="35"/>
                  </w:numPr>
                  <w:spacing w:after="0"/>
                  <w:jc w:val="both"/>
                  <w:rPr>
                    <w:color w:val="auto"/>
                    <w:sz w:val="24"/>
                    <w:szCs w:val="24"/>
                    <w:lang w:val="fr-FR"/>
                  </w:rPr>
                </w:pPr>
                <w:r w:rsidRPr="00EA03DB">
                  <w:rPr>
                    <w:color w:val="auto"/>
                    <w:sz w:val="24"/>
                    <w:szCs w:val="24"/>
                    <w:lang w:val="fr-FR"/>
                  </w:rPr>
                  <w:t xml:space="preserve">Est-ce que les projets ont répondu aux besoins et priorités spécifiques des garçons </w:t>
                </w:r>
                <w:r w:rsidR="005A231A" w:rsidRPr="00EA03DB">
                  <w:rPr>
                    <w:color w:val="auto"/>
                    <w:sz w:val="24"/>
                    <w:szCs w:val="24"/>
                    <w:lang w:val="fr-FR"/>
                  </w:rPr>
                  <w:t xml:space="preserve">aussi bien que </w:t>
                </w:r>
                <w:r w:rsidRPr="00EA03DB">
                  <w:rPr>
                    <w:color w:val="auto"/>
                    <w:sz w:val="24"/>
                    <w:szCs w:val="24"/>
                    <w:lang w:val="fr-FR"/>
                  </w:rPr>
                  <w:t>des filles ?</w:t>
                </w:r>
              </w:p>
              <w:p w14:paraId="31E366AA" w14:textId="7BD643BB" w:rsidR="00F9596D" w:rsidRPr="00EA03DB" w:rsidRDefault="00F9596D" w:rsidP="00691078">
                <w:pPr>
                  <w:pStyle w:val="ListParagraph"/>
                  <w:numPr>
                    <w:ilvl w:val="0"/>
                    <w:numId w:val="35"/>
                  </w:numPr>
                  <w:spacing w:after="0"/>
                  <w:jc w:val="both"/>
                  <w:rPr>
                    <w:color w:val="auto"/>
                    <w:sz w:val="24"/>
                    <w:szCs w:val="24"/>
                    <w:lang w:val="fr-FR"/>
                  </w:rPr>
                </w:pPr>
                <w:r w:rsidRPr="00EA03DB">
                  <w:rPr>
                    <w:color w:val="auto"/>
                    <w:sz w:val="24"/>
                    <w:szCs w:val="24"/>
                    <w:lang w:val="fr-FR"/>
                  </w:rPr>
                  <w:t>Est-ce qu’il y avait une participation équilibrée, des taux d'achèvement</w:t>
                </w:r>
                <w:r w:rsidR="005A231A" w:rsidRPr="00EA03DB">
                  <w:rPr>
                    <w:color w:val="auto"/>
                    <w:sz w:val="24"/>
                    <w:szCs w:val="24"/>
                    <w:lang w:val="fr-FR"/>
                  </w:rPr>
                  <w:t xml:space="preserve"> </w:t>
                </w:r>
                <w:r w:rsidRPr="00EA03DB">
                  <w:rPr>
                    <w:color w:val="auto"/>
                    <w:sz w:val="24"/>
                    <w:szCs w:val="24"/>
                    <w:lang w:val="fr-FR"/>
                  </w:rPr>
                  <w:t>comparables, un niveau d’accès à la documentation civile similaire et un sentiment pareil de sureté, santé et sécurité chez les filles comme chez les garçons ?</w:t>
                </w:r>
              </w:p>
              <w:p w14:paraId="20AD36AD" w14:textId="13B9037A" w:rsidR="006237B5" w:rsidRPr="00EA03DB" w:rsidRDefault="006237B5" w:rsidP="00F9596D">
                <w:pPr>
                  <w:jc w:val="both"/>
                  <w:rPr>
                    <w:color w:val="auto"/>
                    <w:sz w:val="24"/>
                    <w:szCs w:val="24"/>
                    <w:lang w:val="fr-FR"/>
                  </w:rPr>
                </w:pPr>
              </w:p>
              <w:p w14:paraId="45F41C19" w14:textId="2C6FFB5B" w:rsidR="00C85163" w:rsidRPr="00EA03DB" w:rsidRDefault="006237B5" w:rsidP="005D72FB">
                <w:pPr>
                  <w:jc w:val="both"/>
                  <w:rPr>
                    <w:b/>
                    <w:color w:val="auto"/>
                    <w:sz w:val="24"/>
                    <w:szCs w:val="24"/>
                    <w:lang w:val="fr-FR"/>
                  </w:rPr>
                </w:pPr>
                <w:r w:rsidRPr="00EA03DB">
                  <w:rPr>
                    <w:b/>
                    <w:color w:val="auto"/>
                    <w:sz w:val="24"/>
                    <w:szCs w:val="24"/>
                    <w:lang w:val="fr-FR"/>
                  </w:rPr>
                  <w:t>Participation</w:t>
                </w:r>
              </w:p>
              <w:p w14:paraId="6138E7B7" w14:textId="5E994229" w:rsidR="00691078" w:rsidRPr="00EA03DB" w:rsidRDefault="00691078" w:rsidP="00691078">
                <w:pPr>
                  <w:pStyle w:val="ListParagraph"/>
                  <w:numPr>
                    <w:ilvl w:val="0"/>
                    <w:numId w:val="36"/>
                  </w:numPr>
                  <w:spacing w:after="0"/>
                  <w:jc w:val="both"/>
                  <w:rPr>
                    <w:color w:val="auto"/>
                    <w:sz w:val="24"/>
                    <w:szCs w:val="24"/>
                    <w:lang w:val="fr-FR"/>
                  </w:rPr>
                </w:pPr>
                <w:r w:rsidRPr="00EA03DB">
                  <w:rPr>
                    <w:color w:val="auto"/>
                    <w:sz w:val="24"/>
                    <w:szCs w:val="24"/>
                    <w:lang w:val="fr-FR"/>
                  </w:rPr>
                  <w:t xml:space="preserve">Quel est le niveau de participation des bénéficiaires et comment la participation </w:t>
                </w:r>
                <w:r w:rsidR="005A231A" w:rsidRPr="00EA03DB">
                  <w:rPr>
                    <w:color w:val="auto"/>
                    <w:sz w:val="24"/>
                    <w:szCs w:val="24"/>
                    <w:lang w:val="fr-FR"/>
                  </w:rPr>
                  <w:t xml:space="preserve">a été </w:t>
                </w:r>
                <w:r w:rsidRPr="00EA03DB">
                  <w:rPr>
                    <w:color w:val="auto"/>
                    <w:sz w:val="24"/>
                    <w:szCs w:val="24"/>
                    <w:lang w:val="fr-FR"/>
                  </w:rPr>
                  <w:t>faite dans les</w:t>
                </w:r>
                <w:r w:rsidR="005A231A" w:rsidRPr="00EA03DB">
                  <w:rPr>
                    <w:color w:val="auto"/>
                    <w:sz w:val="24"/>
                    <w:szCs w:val="24"/>
                    <w:lang w:val="fr-FR"/>
                  </w:rPr>
                  <w:t xml:space="preserve"> différentes</w:t>
                </w:r>
                <w:r w:rsidRPr="00EA03DB">
                  <w:rPr>
                    <w:color w:val="auto"/>
                    <w:sz w:val="24"/>
                    <w:szCs w:val="24"/>
                    <w:lang w:val="fr-FR"/>
                  </w:rPr>
                  <w:t xml:space="preserve"> phases </w:t>
                </w:r>
                <w:r w:rsidR="005A231A" w:rsidRPr="00EA03DB">
                  <w:rPr>
                    <w:color w:val="auto"/>
                    <w:sz w:val="24"/>
                    <w:szCs w:val="24"/>
                    <w:lang w:val="fr-FR"/>
                  </w:rPr>
                  <w:t xml:space="preserve">du </w:t>
                </w:r>
                <w:r w:rsidRPr="00EA03DB">
                  <w:rPr>
                    <w:color w:val="auto"/>
                    <w:sz w:val="24"/>
                    <w:szCs w:val="24"/>
                    <w:lang w:val="fr-FR"/>
                  </w:rPr>
                  <w:t>cycle de</w:t>
                </w:r>
                <w:r w:rsidR="005A231A" w:rsidRPr="00EA03DB">
                  <w:rPr>
                    <w:color w:val="auto"/>
                    <w:sz w:val="24"/>
                    <w:szCs w:val="24"/>
                    <w:lang w:val="fr-FR"/>
                  </w:rPr>
                  <w:t>s</w:t>
                </w:r>
                <w:r w:rsidRPr="00EA03DB">
                  <w:rPr>
                    <w:color w:val="auto"/>
                    <w:sz w:val="24"/>
                    <w:szCs w:val="24"/>
                    <w:lang w:val="fr-FR"/>
                  </w:rPr>
                  <w:t xml:space="preserve"> projets (programmation, identification, formulation, mise en œuvre</w:t>
                </w:r>
                <w:r w:rsidR="005A231A" w:rsidRPr="00EA03DB">
                  <w:rPr>
                    <w:color w:val="auto"/>
                    <w:sz w:val="24"/>
                    <w:szCs w:val="24"/>
                    <w:lang w:val="fr-FR"/>
                  </w:rPr>
                  <w:t>,</w:t>
                </w:r>
                <w:r w:rsidRPr="00EA03DB">
                  <w:rPr>
                    <w:color w:val="auto"/>
                    <w:sz w:val="24"/>
                    <w:szCs w:val="24"/>
                    <w:lang w:val="fr-FR"/>
                  </w:rPr>
                  <w:t xml:space="preserve"> et suivi et évaluation</w:t>
                </w:r>
                <w:r w:rsidR="005A231A" w:rsidRPr="00EA03DB">
                  <w:rPr>
                    <w:color w:val="auto"/>
                    <w:sz w:val="24"/>
                    <w:szCs w:val="24"/>
                    <w:lang w:val="fr-FR"/>
                  </w:rPr>
                  <w:t>)</w:t>
                </w:r>
                <w:r w:rsidRPr="00EA03DB">
                  <w:rPr>
                    <w:color w:val="auto"/>
                    <w:sz w:val="24"/>
                    <w:szCs w:val="24"/>
                    <w:lang w:val="fr-FR"/>
                  </w:rPr>
                  <w:t xml:space="preserve"> ? </w:t>
                </w:r>
              </w:p>
              <w:p w14:paraId="338F552F" w14:textId="6B1F9CCD" w:rsidR="00395483" w:rsidRPr="00EA03DB" w:rsidRDefault="00395483" w:rsidP="00691078">
                <w:pPr>
                  <w:pStyle w:val="ListParagraph"/>
                  <w:numPr>
                    <w:ilvl w:val="0"/>
                    <w:numId w:val="36"/>
                  </w:numPr>
                  <w:spacing w:after="0"/>
                  <w:jc w:val="both"/>
                  <w:rPr>
                    <w:color w:val="auto"/>
                    <w:sz w:val="24"/>
                    <w:szCs w:val="24"/>
                    <w:lang w:val="fr-FR"/>
                  </w:rPr>
                </w:pPr>
                <w:r w:rsidRPr="00EA03DB">
                  <w:rPr>
                    <w:color w:val="auto"/>
                    <w:sz w:val="24"/>
                    <w:szCs w:val="24"/>
                    <w:lang w:val="fr-FR"/>
                  </w:rPr>
                  <w:t>Comment les projets ont-ils intégré le mécanisme de plainte et feedbacks dans la mise en œuvre des activités au quotidien ?</w:t>
                </w:r>
              </w:p>
              <w:p w14:paraId="5C33A6DE" w14:textId="0DFB38C1" w:rsidR="005D72FB" w:rsidRPr="00EA03DB" w:rsidRDefault="005D72FB" w:rsidP="006237B5">
                <w:pPr>
                  <w:jc w:val="both"/>
                  <w:rPr>
                    <w:color w:val="auto"/>
                    <w:sz w:val="24"/>
                    <w:szCs w:val="24"/>
                    <w:lang w:val="fr-FR"/>
                  </w:rPr>
                </w:pPr>
              </w:p>
            </w:tc>
          </w:tr>
        </w:tbl>
        <w:p w14:paraId="5C33A6E0" w14:textId="77777777" w:rsidR="00C11051" w:rsidRPr="00F9596D" w:rsidRDefault="00C11051" w:rsidP="00C11051">
          <w:pPr>
            <w:jc w:val="both"/>
            <w:rPr>
              <w:color w:val="808080" w:themeColor="background1" w:themeShade="80"/>
              <w:lang w:val="fr-FR"/>
            </w:rPr>
          </w:pPr>
        </w:p>
        <w:p w14:paraId="5C33A6E1" w14:textId="77777777" w:rsidR="005D72FB" w:rsidRPr="00F9596D" w:rsidRDefault="005D72FB" w:rsidP="00C11051">
          <w:pPr>
            <w:spacing w:after="0" w:line="240" w:lineRule="auto"/>
            <w:ind w:left="360" w:hanging="360"/>
            <w:jc w:val="both"/>
            <w:rPr>
              <w:rFonts w:cs="Calibri"/>
              <w:b/>
              <w:sz w:val="24"/>
              <w:szCs w:val="24"/>
              <w:lang w:val="fr-FR"/>
            </w:rPr>
          </w:pPr>
        </w:p>
        <w:p w14:paraId="5C33A6E2" w14:textId="50B8C5F8" w:rsidR="00473482" w:rsidRPr="000E49C8" w:rsidRDefault="00B47A62" w:rsidP="00C11051">
          <w:pPr>
            <w:pStyle w:val="Heading1"/>
            <w:rPr>
              <w:lang w:val="fr-FR"/>
            </w:rPr>
          </w:pPr>
          <w:r w:rsidRPr="000E49C8">
            <w:rPr>
              <w:lang w:val="fr-FR"/>
            </w:rPr>
            <w:t>Mé</w:t>
          </w:r>
          <w:r w:rsidR="00C11051" w:rsidRPr="000E49C8">
            <w:rPr>
              <w:lang w:val="fr-FR"/>
            </w:rPr>
            <w:t>thodolog</w:t>
          </w:r>
          <w:r w:rsidRPr="000E49C8">
            <w:rPr>
              <w:lang w:val="fr-FR"/>
            </w:rPr>
            <w:t>ie</w:t>
          </w:r>
        </w:p>
        <w:tbl>
          <w:tblPr>
            <w:tblStyle w:val="TableGrid"/>
            <w:tblW w:w="9918" w:type="dxa"/>
            <w:tblLook w:val="04A0" w:firstRow="1" w:lastRow="0" w:firstColumn="1" w:lastColumn="0" w:noHBand="0" w:noVBand="1"/>
          </w:tblPr>
          <w:tblGrid>
            <w:gridCol w:w="9918"/>
          </w:tblGrid>
          <w:tr w:rsidR="00473482" w:rsidRPr="006943C6" w14:paraId="5C33A6E8" w14:textId="77777777" w:rsidTr="0A38F48B">
            <w:tc>
              <w:tcPr>
                <w:tcW w:w="9918" w:type="dxa"/>
              </w:tcPr>
              <w:p w14:paraId="60AEC0E8" w14:textId="42776981" w:rsidR="0049547F" w:rsidRPr="0049547F" w:rsidRDefault="0049547F" w:rsidP="0049547F">
                <w:pPr>
                  <w:jc w:val="both"/>
                  <w:rPr>
                    <w:rFonts w:cs="Calibri"/>
                    <w:color w:val="auto"/>
                    <w:sz w:val="24"/>
                    <w:szCs w:val="24"/>
                    <w:lang w:val="fr-FR"/>
                  </w:rPr>
                </w:pPr>
                <w:r w:rsidRPr="0049547F">
                  <w:rPr>
                    <w:rFonts w:cs="Calibri"/>
                    <w:color w:val="auto"/>
                    <w:sz w:val="24"/>
                    <w:szCs w:val="24"/>
                    <w:lang w:val="fr-FR"/>
                  </w:rPr>
                  <w:t xml:space="preserve">La méthodologie d'évaluation sera élaborée par le/a consultant/e et présentée dans le rapport initial, </w:t>
                </w:r>
                <w:r w:rsidR="005A231A">
                  <w:rPr>
                    <w:rFonts w:cs="Calibri"/>
                    <w:color w:val="auto"/>
                    <w:sz w:val="24"/>
                    <w:szCs w:val="24"/>
                    <w:lang w:val="fr-FR"/>
                  </w:rPr>
                  <w:t>qui comprendra également</w:t>
                </w:r>
                <w:r w:rsidRPr="0049547F">
                  <w:rPr>
                    <w:rFonts w:cs="Calibri"/>
                    <w:color w:val="auto"/>
                    <w:sz w:val="24"/>
                    <w:szCs w:val="24"/>
                    <w:lang w:val="fr-FR"/>
                  </w:rPr>
                  <w:t xml:space="preserve"> une matrice d'évaluation détaillée. L'évaluation doit être basée sur des méthodes quantitatives et qualitatives combinées. Toutes les questions d'évaluation clés doivent être abordées. La stratégie de collecte de données doit inclure l'utilisation </w:t>
                </w:r>
                <w:r w:rsidR="00BD5B75">
                  <w:rPr>
                    <w:rFonts w:cs="Calibri"/>
                    <w:color w:val="auto"/>
                    <w:sz w:val="24"/>
                    <w:szCs w:val="24"/>
                    <w:lang w:val="fr-FR"/>
                  </w:rPr>
                  <w:t xml:space="preserve">d’approches et </w:t>
                </w:r>
                <w:r w:rsidRPr="0049547F">
                  <w:rPr>
                    <w:rFonts w:cs="Calibri"/>
                    <w:color w:val="auto"/>
                    <w:sz w:val="24"/>
                    <w:szCs w:val="24"/>
                    <w:lang w:val="fr-FR"/>
                  </w:rPr>
                  <w:t xml:space="preserve">d'outils appropriés pour mieux comprendre les résultats </w:t>
                </w:r>
                <w:r w:rsidR="005A231A">
                  <w:rPr>
                    <w:rFonts w:cs="Calibri"/>
                    <w:color w:val="auto"/>
                    <w:sz w:val="24"/>
                    <w:szCs w:val="24"/>
                    <w:lang w:val="fr-FR"/>
                  </w:rPr>
                  <w:t>des</w:t>
                </w:r>
                <w:r w:rsidR="005A231A" w:rsidRPr="0049547F">
                  <w:rPr>
                    <w:rFonts w:cs="Calibri"/>
                    <w:color w:val="auto"/>
                    <w:sz w:val="24"/>
                    <w:szCs w:val="24"/>
                    <w:lang w:val="fr-FR"/>
                  </w:rPr>
                  <w:t xml:space="preserve"> </w:t>
                </w:r>
                <w:r w:rsidRPr="0049547F">
                  <w:rPr>
                    <w:rFonts w:cs="Calibri"/>
                    <w:color w:val="auto"/>
                    <w:sz w:val="24"/>
                    <w:szCs w:val="24"/>
                    <w:lang w:val="fr-FR"/>
                  </w:rPr>
                  <w:t>projet</w:t>
                </w:r>
                <w:r w:rsidR="005A231A">
                  <w:rPr>
                    <w:rFonts w:cs="Calibri"/>
                    <w:color w:val="auto"/>
                    <w:sz w:val="24"/>
                    <w:szCs w:val="24"/>
                    <w:lang w:val="fr-FR"/>
                  </w:rPr>
                  <w:t>s et leçons apprises transversales</w:t>
                </w:r>
                <w:r w:rsidRPr="0049547F">
                  <w:rPr>
                    <w:rFonts w:cs="Calibri"/>
                    <w:color w:val="auto"/>
                    <w:sz w:val="24"/>
                    <w:szCs w:val="24"/>
                    <w:lang w:val="fr-FR"/>
                  </w:rPr>
                  <w:t>, tels que :</w:t>
                </w:r>
              </w:p>
              <w:p w14:paraId="2B2B5DBF" w14:textId="7A17453D" w:rsidR="0049547F" w:rsidRPr="0049547F" w:rsidRDefault="38D29C8C" w:rsidP="0049547F">
                <w:pPr>
                  <w:pStyle w:val="ListParagraph"/>
                  <w:numPr>
                    <w:ilvl w:val="1"/>
                    <w:numId w:val="37"/>
                  </w:numPr>
                  <w:spacing w:after="0"/>
                  <w:ind w:left="743"/>
                  <w:jc w:val="both"/>
                  <w:rPr>
                    <w:rFonts w:cs="Calibri"/>
                    <w:color w:val="auto"/>
                    <w:sz w:val="24"/>
                    <w:szCs w:val="24"/>
                    <w:lang w:val="fr-FR"/>
                  </w:rPr>
                </w:pPr>
                <w:r w:rsidRPr="0A38F48B">
                  <w:rPr>
                    <w:color w:val="auto"/>
                    <w:sz w:val="24"/>
                    <w:szCs w:val="24"/>
                    <w:lang w:val="fr-FR"/>
                  </w:rPr>
                  <w:t xml:space="preserve">Revue </w:t>
                </w:r>
                <w:r w:rsidRPr="0A38F48B">
                  <w:rPr>
                    <w:rFonts w:cs="Calibri"/>
                    <w:color w:val="auto"/>
                    <w:sz w:val="24"/>
                    <w:szCs w:val="24"/>
                    <w:lang w:val="fr-FR"/>
                  </w:rPr>
                  <w:t xml:space="preserve">documentaire, </w:t>
                </w:r>
                <w:r w:rsidR="005A231A">
                  <w:rPr>
                    <w:rFonts w:cs="Calibri"/>
                    <w:color w:val="auto"/>
                    <w:sz w:val="24"/>
                    <w:szCs w:val="24"/>
                    <w:lang w:val="fr-FR"/>
                  </w:rPr>
                  <w:t>notamment des</w:t>
                </w:r>
                <w:r w:rsidRPr="0A38F48B">
                  <w:rPr>
                    <w:rFonts w:cs="Calibri"/>
                    <w:color w:val="auto"/>
                    <w:sz w:val="24"/>
                    <w:szCs w:val="24"/>
                    <w:lang w:val="fr-FR"/>
                  </w:rPr>
                  <w:t xml:space="preserve"> propositions de projets, les cadres logiques, les budgets et les plans annuels</w:t>
                </w:r>
              </w:p>
              <w:p w14:paraId="069DB932" w14:textId="69C82B05" w:rsidR="0049547F" w:rsidRPr="0049547F" w:rsidRDefault="0049547F" w:rsidP="008F2FB9">
                <w:pPr>
                  <w:pStyle w:val="ListParagraph"/>
                  <w:numPr>
                    <w:ilvl w:val="1"/>
                    <w:numId w:val="37"/>
                  </w:numPr>
                  <w:spacing w:after="0"/>
                  <w:ind w:left="743"/>
                  <w:jc w:val="both"/>
                  <w:rPr>
                    <w:rFonts w:cs="Calibri"/>
                    <w:color w:val="auto"/>
                    <w:sz w:val="24"/>
                    <w:szCs w:val="24"/>
                    <w:lang w:val="fr-FR"/>
                  </w:rPr>
                </w:pPr>
                <w:r w:rsidRPr="0049547F">
                  <w:rPr>
                    <w:color w:val="auto"/>
                    <w:sz w:val="24"/>
                    <w:szCs w:val="24"/>
                    <w:lang w:val="fr-FR"/>
                  </w:rPr>
                  <w:t>Revue des données de suivi-évaluation des projets, des p</w:t>
                </w:r>
                <w:r w:rsidRPr="0049547F">
                  <w:rPr>
                    <w:rFonts w:cs="Calibri"/>
                    <w:color w:val="auto"/>
                    <w:sz w:val="24"/>
                    <w:szCs w:val="24"/>
                    <w:lang w:val="fr-FR"/>
                  </w:rPr>
                  <w:t>rocès-verbaux des réunions,</w:t>
                </w:r>
                <w:r>
                  <w:rPr>
                    <w:rFonts w:cs="Calibri"/>
                    <w:color w:val="auto"/>
                    <w:sz w:val="24"/>
                    <w:szCs w:val="24"/>
                    <w:lang w:val="fr-FR"/>
                  </w:rPr>
                  <w:t xml:space="preserve"> des rapports de </w:t>
                </w:r>
                <w:r w:rsidRPr="0049547F">
                  <w:rPr>
                    <w:rFonts w:cs="Calibri"/>
                    <w:color w:val="auto"/>
                    <w:sz w:val="24"/>
                    <w:szCs w:val="24"/>
                    <w:lang w:val="fr-FR"/>
                  </w:rPr>
                  <w:t xml:space="preserve">suivi, y compris les rapports </w:t>
                </w:r>
                <w:r w:rsidR="00BD5B75">
                  <w:rPr>
                    <w:rFonts w:cs="Calibri"/>
                    <w:color w:val="auto"/>
                    <w:sz w:val="24"/>
                    <w:szCs w:val="24"/>
                    <w:lang w:val="fr-FR"/>
                  </w:rPr>
                  <w:t xml:space="preserve">envoyés aux </w:t>
                </w:r>
                <w:r>
                  <w:rPr>
                    <w:rFonts w:cs="Calibri"/>
                    <w:color w:val="auto"/>
                    <w:sz w:val="24"/>
                    <w:szCs w:val="24"/>
                    <w:lang w:val="fr-FR"/>
                  </w:rPr>
                  <w:t>bailleurs de fonds</w:t>
                </w:r>
              </w:p>
              <w:p w14:paraId="414BE062" w14:textId="77777777" w:rsidR="00395483" w:rsidRDefault="0049547F" w:rsidP="0049547F">
                <w:pPr>
                  <w:pStyle w:val="ListParagraph"/>
                  <w:numPr>
                    <w:ilvl w:val="1"/>
                    <w:numId w:val="37"/>
                  </w:numPr>
                  <w:spacing w:after="0"/>
                  <w:ind w:left="743"/>
                  <w:jc w:val="both"/>
                  <w:rPr>
                    <w:rFonts w:cs="Calibri"/>
                    <w:color w:val="auto"/>
                    <w:sz w:val="24"/>
                    <w:szCs w:val="24"/>
                    <w:lang w:val="fr-FR"/>
                  </w:rPr>
                </w:pPr>
                <w:r w:rsidRPr="0049547F">
                  <w:rPr>
                    <w:rFonts w:cs="Calibri"/>
                    <w:color w:val="auto"/>
                    <w:sz w:val="24"/>
                    <w:szCs w:val="24"/>
                    <w:lang w:val="fr-FR"/>
                  </w:rPr>
                  <w:t>Entrevues</w:t>
                </w:r>
                <w:r w:rsidR="00395483">
                  <w:rPr>
                    <w:rFonts w:cs="Calibri"/>
                    <w:color w:val="auto"/>
                    <w:sz w:val="24"/>
                    <w:szCs w:val="24"/>
                    <w:lang w:val="fr-FR"/>
                  </w:rPr>
                  <w:t xml:space="preserve"> avec les </w:t>
                </w:r>
                <w:r w:rsidRPr="0049547F">
                  <w:rPr>
                    <w:rFonts w:cs="Calibri"/>
                    <w:color w:val="auto"/>
                    <w:sz w:val="24"/>
                    <w:szCs w:val="24"/>
                    <w:lang w:val="fr-FR"/>
                  </w:rPr>
                  <w:t xml:space="preserve">informateurs clés </w:t>
                </w:r>
                <w:r w:rsidR="00395483">
                  <w:rPr>
                    <w:rFonts w:cs="Calibri"/>
                    <w:color w:val="auto"/>
                    <w:sz w:val="24"/>
                    <w:szCs w:val="24"/>
                    <w:lang w:val="fr-FR"/>
                  </w:rPr>
                  <w:t>des équipes de programmes et supports, y compris le bureau de coordination de Bamako, les bureaux de terrain à Mopti et à Tombouctou</w:t>
                </w:r>
              </w:p>
              <w:p w14:paraId="55C7ECC8" w14:textId="72853B6E" w:rsidR="00395483" w:rsidRDefault="00395483" w:rsidP="0049547F">
                <w:pPr>
                  <w:pStyle w:val="ListParagraph"/>
                  <w:numPr>
                    <w:ilvl w:val="1"/>
                    <w:numId w:val="37"/>
                  </w:numPr>
                  <w:spacing w:after="0"/>
                  <w:ind w:left="743"/>
                  <w:jc w:val="both"/>
                  <w:rPr>
                    <w:rFonts w:cs="Calibri"/>
                    <w:color w:val="auto"/>
                    <w:sz w:val="24"/>
                    <w:szCs w:val="24"/>
                    <w:lang w:val="fr-FR"/>
                  </w:rPr>
                </w:pPr>
                <w:r>
                  <w:rPr>
                    <w:rFonts w:cs="Calibri"/>
                    <w:color w:val="auto"/>
                    <w:sz w:val="24"/>
                    <w:szCs w:val="24"/>
                    <w:lang w:val="fr-FR"/>
                  </w:rPr>
                  <w:t>Entretiens individuels</w:t>
                </w:r>
                <w:r w:rsidR="001F0E6A">
                  <w:rPr>
                    <w:rFonts w:cs="Calibri"/>
                    <w:color w:val="auto"/>
                    <w:sz w:val="24"/>
                    <w:szCs w:val="24"/>
                    <w:lang w:val="fr-FR"/>
                  </w:rPr>
                  <w:t xml:space="preserve"> avec les bénéficiaires directs, y compris des élèves, </w:t>
                </w:r>
                <w:r>
                  <w:rPr>
                    <w:rFonts w:cs="Calibri"/>
                    <w:color w:val="auto"/>
                    <w:sz w:val="24"/>
                    <w:szCs w:val="24"/>
                    <w:lang w:val="fr-FR"/>
                  </w:rPr>
                  <w:t>en cas de besoins de compléments des données de S&amp;E préexistantes</w:t>
                </w:r>
              </w:p>
              <w:p w14:paraId="2C7DCC8B" w14:textId="3F275461" w:rsidR="00395483" w:rsidRDefault="00395483" w:rsidP="0049547F">
                <w:pPr>
                  <w:pStyle w:val="ListParagraph"/>
                  <w:numPr>
                    <w:ilvl w:val="1"/>
                    <w:numId w:val="37"/>
                  </w:numPr>
                  <w:spacing w:after="0"/>
                  <w:ind w:left="743"/>
                  <w:jc w:val="both"/>
                  <w:rPr>
                    <w:rFonts w:cs="Calibri"/>
                    <w:color w:val="auto"/>
                    <w:sz w:val="24"/>
                    <w:szCs w:val="24"/>
                    <w:lang w:val="fr-FR"/>
                  </w:rPr>
                </w:pPr>
                <w:r>
                  <w:rPr>
                    <w:color w:val="auto"/>
                    <w:sz w:val="24"/>
                    <w:szCs w:val="24"/>
                    <w:lang w:val="fr-FR"/>
                  </w:rPr>
                  <w:t>Autres m</w:t>
                </w:r>
                <w:r w:rsidR="0049547F" w:rsidRPr="0049547F">
                  <w:rPr>
                    <w:rFonts w:cs="Calibri"/>
                    <w:color w:val="auto"/>
                    <w:sz w:val="24"/>
                    <w:szCs w:val="24"/>
                    <w:lang w:val="fr-FR"/>
                  </w:rPr>
                  <w:t>éthodes participatives jugé</w:t>
                </w:r>
                <w:r>
                  <w:rPr>
                    <w:rFonts w:cs="Calibri"/>
                    <w:color w:val="auto"/>
                    <w:sz w:val="24"/>
                    <w:szCs w:val="24"/>
                    <w:lang w:val="fr-FR"/>
                  </w:rPr>
                  <w:t>es appropriées par l'équipe d’évaluation et approuvées par NRC</w:t>
                </w:r>
              </w:p>
              <w:p w14:paraId="5C33A6E7" w14:textId="55CE2B2C" w:rsidR="00473482" w:rsidRPr="0049547F" w:rsidRDefault="0049547F" w:rsidP="001F0E6A">
                <w:pPr>
                  <w:pStyle w:val="ListParagraph"/>
                  <w:numPr>
                    <w:ilvl w:val="1"/>
                    <w:numId w:val="37"/>
                  </w:numPr>
                  <w:spacing w:after="0"/>
                  <w:ind w:left="743"/>
                  <w:jc w:val="both"/>
                  <w:rPr>
                    <w:rFonts w:cs="Calibri"/>
                    <w:b/>
                    <w:color w:val="auto"/>
                    <w:sz w:val="24"/>
                    <w:szCs w:val="24"/>
                    <w:lang w:val="fr-FR"/>
                  </w:rPr>
                </w:pPr>
                <w:r w:rsidRPr="0049547F">
                  <w:rPr>
                    <w:rFonts w:cs="Calibri"/>
                    <w:color w:val="auto"/>
                    <w:sz w:val="24"/>
                    <w:szCs w:val="24"/>
                    <w:lang w:val="fr-FR"/>
                  </w:rPr>
                  <w:t xml:space="preserve">Entretiens </w:t>
                </w:r>
                <w:r w:rsidR="00A001EB">
                  <w:rPr>
                    <w:rFonts w:cs="Calibri"/>
                    <w:color w:val="auto"/>
                    <w:sz w:val="24"/>
                    <w:szCs w:val="24"/>
                    <w:lang w:val="fr-FR"/>
                  </w:rPr>
                  <w:t xml:space="preserve">pertinents </w:t>
                </w:r>
                <w:r w:rsidRPr="0049547F">
                  <w:rPr>
                    <w:rFonts w:cs="Calibri"/>
                    <w:color w:val="auto"/>
                    <w:sz w:val="24"/>
                    <w:szCs w:val="24"/>
                    <w:lang w:val="fr-FR"/>
                  </w:rPr>
                  <w:t>avec d'autres acteurs humanitaires</w:t>
                </w:r>
                <w:r w:rsidR="001F0E6A">
                  <w:rPr>
                    <w:rFonts w:cs="Calibri"/>
                    <w:color w:val="auto"/>
                    <w:sz w:val="24"/>
                    <w:szCs w:val="24"/>
                    <w:lang w:val="fr-FR"/>
                  </w:rPr>
                  <w:t xml:space="preserve">, les académies, les </w:t>
                </w:r>
                <w:r w:rsidR="005D100E">
                  <w:rPr>
                    <w:rFonts w:cs="Calibri"/>
                    <w:color w:val="auto"/>
                    <w:sz w:val="24"/>
                    <w:szCs w:val="24"/>
                    <w:lang w:val="fr-FR"/>
                  </w:rPr>
                  <w:t>Centre d’Animation Pédagogique (</w:t>
                </w:r>
                <w:r w:rsidR="001F0E6A">
                  <w:rPr>
                    <w:rFonts w:cs="Calibri"/>
                    <w:color w:val="auto"/>
                    <w:sz w:val="24"/>
                    <w:szCs w:val="24"/>
                    <w:lang w:val="fr-FR"/>
                  </w:rPr>
                  <w:t>CAP</w:t>
                </w:r>
                <w:r w:rsidR="005D100E">
                  <w:rPr>
                    <w:rFonts w:cs="Calibri"/>
                    <w:color w:val="auto"/>
                    <w:sz w:val="24"/>
                    <w:szCs w:val="24"/>
                    <w:lang w:val="fr-FR"/>
                  </w:rPr>
                  <w:t>)</w:t>
                </w:r>
                <w:r w:rsidR="001F0E6A">
                  <w:rPr>
                    <w:rFonts w:cs="Calibri"/>
                    <w:color w:val="auto"/>
                    <w:sz w:val="24"/>
                    <w:szCs w:val="24"/>
                    <w:lang w:val="fr-FR"/>
                  </w:rPr>
                  <w:t>, les directions des écoles bénéficiaires, les maires, les agents de services déconcentrés d’eau, hygiène et assainissent</w:t>
                </w:r>
              </w:p>
            </w:tc>
          </w:tr>
        </w:tbl>
        <w:p w14:paraId="5C33A6E9" w14:textId="77777777" w:rsidR="00473482" w:rsidRPr="0049547F" w:rsidRDefault="00473482" w:rsidP="00473482">
          <w:pPr>
            <w:jc w:val="both"/>
            <w:rPr>
              <w:rFonts w:ascii="Calibri" w:hAnsi="Calibri" w:cs="Calibri"/>
              <w:b/>
              <w:lang w:val="fr-FR"/>
            </w:rPr>
          </w:pPr>
        </w:p>
        <w:p w14:paraId="5C33A6EA" w14:textId="6E219D1B" w:rsidR="00473482" w:rsidRPr="00EA03DB" w:rsidRDefault="00B47A62" w:rsidP="005D72FB">
          <w:pPr>
            <w:pStyle w:val="Heading1"/>
            <w:rPr>
              <w:color w:val="FF7602"/>
              <w:lang w:val="fr-FR"/>
            </w:rPr>
          </w:pPr>
          <w:r w:rsidRPr="00EA03DB">
            <w:rPr>
              <w:color w:val="FF7602"/>
              <w:lang w:val="fr-FR"/>
            </w:rPr>
            <w:t>Suivi de l’évaluation et apprentissage</w:t>
          </w:r>
        </w:p>
        <w:tbl>
          <w:tblPr>
            <w:tblStyle w:val="TableGrid"/>
            <w:tblW w:w="9918" w:type="dxa"/>
            <w:tblLook w:val="04A0" w:firstRow="1" w:lastRow="0" w:firstColumn="1" w:lastColumn="0" w:noHBand="0" w:noVBand="1"/>
          </w:tblPr>
          <w:tblGrid>
            <w:gridCol w:w="9918"/>
          </w:tblGrid>
          <w:tr w:rsidR="00473482" w:rsidRPr="006943C6" w14:paraId="5C33A6EF" w14:textId="77777777" w:rsidTr="002B405E">
            <w:tc>
              <w:tcPr>
                <w:tcW w:w="9918" w:type="dxa"/>
              </w:tcPr>
              <w:p w14:paraId="163218D3" w14:textId="38278A6B" w:rsidR="0012192D" w:rsidRPr="0012192D" w:rsidRDefault="001F0E6A" w:rsidP="001F0E6A">
                <w:pPr>
                  <w:pStyle w:val="ListParagraph"/>
                  <w:numPr>
                    <w:ilvl w:val="0"/>
                    <w:numId w:val="38"/>
                  </w:numPr>
                  <w:autoSpaceDE w:val="0"/>
                  <w:autoSpaceDN w:val="0"/>
                  <w:adjustRightInd w:val="0"/>
                  <w:spacing w:before="100" w:beforeAutospacing="1" w:after="100" w:afterAutospacing="1"/>
                  <w:jc w:val="both"/>
                  <w:rPr>
                    <w:rFonts w:cs="Arial"/>
                    <w:color w:val="auto"/>
                    <w:sz w:val="24"/>
                    <w:szCs w:val="24"/>
                    <w:lang w:val="fr-FR"/>
                  </w:rPr>
                </w:pPr>
                <w:r w:rsidRPr="0012192D">
                  <w:rPr>
                    <w:rFonts w:cs="Arial"/>
                    <w:color w:val="auto"/>
                    <w:sz w:val="24"/>
                    <w:szCs w:val="24"/>
                    <w:lang w:val="fr-FR"/>
                  </w:rPr>
                  <w:t xml:space="preserve">Les résultats de l’évaluation seront </w:t>
                </w:r>
                <w:r w:rsidR="0012192D" w:rsidRPr="0012192D">
                  <w:rPr>
                    <w:rFonts w:cs="Arial"/>
                    <w:color w:val="auto"/>
                    <w:sz w:val="24"/>
                    <w:szCs w:val="24"/>
                    <w:lang w:val="fr-FR"/>
                  </w:rPr>
                  <w:t>utilisés</w:t>
                </w:r>
                <w:r w:rsidRPr="0012192D">
                  <w:rPr>
                    <w:rFonts w:cs="Arial"/>
                    <w:color w:val="auto"/>
                    <w:sz w:val="24"/>
                    <w:szCs w:val="24"/>
                    <w:lang w:val="fr-FR"/>
                  </w:rPr>
                  <w:t xml:space="preserve"> lors du processus de revue stratégique au niveau pays et </w:t>
                </w:r>
                <w:r w:rsidR="0012192D" w:rsidRPr="0012192D">
                  <w:rPr>
                    <w:rFonts w:cs="Arial"/>
                    <w:color w:val="auto"/>
                    <w:sz w:val="24"/>
                    <w:szCs w:val="24"/>
                    <w:lang w:val="fr-FR"/>
                  </w:rPr>
                  <w:t>pour chaque programme</w:t>
                </w:r>
              </w:p>
              <w:p w14:paraId="1249CF18" w14:textId="62DCE6DA" w:rsidR="0012192D" w:rsidRPr="0012192D" w:rsidRDefault="0012192D" w:rsidP="001F0E6A">
                <w:pPr>
                  <w:pStyle w:val="ListParagraph"/>
                  <w:numPr>
                    <w:ilvl w:val="0"/>
                    <w:numId w:val="38"/>
                  </w:numPr>
                  <w:autoSpaceDE w:val="0"/>
                  <w:autoSpaceDN w:val="0"/>
                  <w:adjustRightInd w:val="0"/>
                  <w:spacing w:before="100" w:beforeAutospacing="1" w:after="100" w:afterAutospacing="1"/>
                  <w:jc w:val="both"/>
                  <w:rPr>
                    <w:rFonts w:cs="Arial"/>
                    <w:color w:val="auto"/>
                    <w:sz w:val="24"/>
                    <w:szCs w:val="24"/>
                    <w:lang w:val="fr-FR"/>
                  </w:rPr>
                </w:pPr>
                <w:r w:rsidRPr="0012192D">
                  <w:rPr>
                    <w:rFonts w:cs="Arial"/>
                    <w:color w:val="auto"/>
                    <w:sz w:val="24"/>
                    <w:szCs w:val="24"/>
                    <w:lang w:val="fr-FR"/>
                  </w:rPr>
                  <w:t xml:space="preserve">Selon les recommandations, le programme élaborera et mettra en œuvre un plan de réponse dans un délai d’un mois compté à partir de la </w:t>
                </w:r>
                <w:r w:rsidR="00A001EB">
                  <w:rPr>
                    <w:rFonts w:cs="Arial"/>
                    <w:color w:val="auto"/>
                    <w:sz w:val="24"/>
                    <w:szCs w:val="24"/>
                    <w:lang w:val="fr-FR"/>
                  </w:rPr>
                  <w:t>validation</w:t>
                </w:r>
                <w:r w:rsidR="00A001EB" w:rsidRPr="0012192D">
                  <w:rPr>
                    <w:rFonts w:cs="Arial"/>
                    <w:color w:val="auto"/>
                    <w:sz w:val="24"/>
                    <w:szCs w:val="24"/>
                    <w:lang w:val="fr-FR"/>
                  </w:rPr>
                  <w:t xml:space="preserve"> </w:t>
                </w:r>
                <w:r w:rsidRPr="0012192D">
                  <w:rPr>
                    <w:rFonts w:cs="Arial"/>
                    <w:color w:val="auto"/>
                    <w:sz w:val="24"/>
                    <w:szCs w:val="24"/>
                    <w:lang w:val="fr-FR"/>
                  </w:rPr>
                  <w:t>du rapport</w:t>
                </w:r>
                <w:r w:rsidR="00A001EB">
                  <w:rPr>
                    <w:rFonts w:cs="Arial"/>
                    <w:color w:val="auto"/>
                    <w:sz w:val="24"/>
                    <w:szCs w:val="24"/>
                    <w:lang w:val="fr-FR"/>
                  </w:rPr>
                  <w:t xml:space="preserve"> par le comité de pilotage</w:t>
                </w:r>
                <w:r w:rsidRPr="0012192D">
                  <w:rPr>
                    <w:rFonts w:cs="Arial"/>
                    <w:color w:val="auto"/>
                    <w:sz w:val="24"/>
                    <w:szCs w:val="24"/>
                    <w:lang w:val="fr-FR"/>
                  </w:rPr>
                  <w:t>. Le plan de réponse sera suivi par le Directeur des programmes</w:t>
                </w:r>
              </w:p>
              <w:p w14:paraId="5C33A6EE" w14:textId="1C52E76E" w:rsidR="00473482" w:rsidRPr="0012192D" w:rsidRDefault="0012192D" w:rsidP="0012192D">
                <w:pPr>
                  <w:pStyle w:val="ListParagraph"/>
                  <w:numPr>
                    <w:ilvl w:val="0"/>
                    <w:numId w:val="38"/>
                  </w:numPr>
                  <w:autoSpaceDE w:val="0"/>
                  <w:autoSpaceDN w:val="0"/>
                  <w:adjustRightInd w:val="0"/>
                  <w:spacing w:before="100" w:beforeAutospacing="1" w:after="100" w:afterAutospacing="1"/>
                  <w:jc w:val="both"/>
                  <w:rPr>
                    <w:rFonts w:cs="Arial"/>
                    <w:color w:val="auto"/>
                    <w:sz w:val="24"/>
                    <w:szCs w:val="24"/>
                    <w:lang w:val="fr-FR"/>
                  </w:rPr>
                </w:pPr>
                <w:r w:rsidRPr="0012192D">
                  <w:rPr>
                    <w:rFonts w:cs="Arial"/>
                    <w:color w:val="auto"/>
                    <w:sz w:val="24"/>
                    <w:szCs w:val="24"/>
                    <w:lang w:val="fr-FR"/>
                  </w:rPr>
                  <w:t>Un plan de di</w:t>
                </w:r>
                <w:r>
                  <w:rPr>
                    <w:rFonts w:cs="Arial"/>
                    <w:color w:val="auto"/>
                    <w:sz w:val="24"/>
                    <w:szCs w:val="24"/>
                    <w:lang w:val="fr-FR"/>
                  </w:rPr>
                  <w:t xml:space="preserve">ssémination </w:t>
                </w:r>
                <w:r w:rsidRPr="0012192D">
                  <w:rPr>
                    <w:rFonts w:cs="Arial"/>
                    <w:color w:val="auto"/>
                    <w:sz w:val="24"/>
                    <w:szCs w:val="24"/>
                    <w:lang w:val="fr-FR"/>
                  </w:rPr>
                  <w:t>sera élaboré pour s'assurer que l</w:t>
                </w:r>
                <w:r>
                  <w:rPr>
                    <w:rFonts w:cs="Arial"/>
                    <w:color w:val="auto"/>
                    <w:sz w:val="24"/>
                    <w:szCs w:val="24"/>
                    <w:lang w:val="fr-FR"/>
                  </w:rPr>
                  <w:t xml:space="preserve">es leçons importantes sont </w:t>
                </w:r>
                <w:r w:rsidRPr="0012192D">
                  <w:rPr>
                    <w:rFonts w:cs="Arial"/>
                    <w:color w:val="auto"/>
                    <w:sz w:val="24"/>
                    <w:szCs w:val="24"/>
                    <w:lang w:val="fr-FR"/>
                  </w:rPr>
                  <w:t>partagé</w:t>
                </w:r>
                <w:r>
                  <w:rPr>
                    <w:rFonts w:cs="Arial"/>
                    <w:color w:val="auto"/>
                    <w:sz w:val="24"/>
                    <w:szCs w:val="24"/>
                    <w:lang w:val="fr-FR"/>
                  </w:rPr>
                  <w:t>es</w:t>
                </w:r>
                <w:r w:rsidRPr="0012192D">
                  <w:rPr>
                    <w:rFonts w:cs="Arial"/>
                    <w:color w:val="auto"/>
                    <w:sz w:val="24"/>
                    <w:szCs w:val="24"/>
                    <w:lang w:val="fr-FR"/>
                  </w:rPr>
                  <w:t xml:space="preserve"> avec les parties prenantes internes et externes</w:t>
                </w:r>
              </w:p>
            </w:tc>
          </w:tr>
        </w:tbl>
        <w:p w14:paraId="5C33A6F0" w14:textId="209CD8BD" w:rsidR="00473482" w:rsidRPr="0012192D" w:rsidRDefault="00B47A62" w:rsidP="005D72FB">
          <w:pPr>
            <w:pStyle w:val="Heading1"/>
            <w:rPr>
              <w:lang w:val="fr-FR"/>
            </w:rPr>
          </w:pPr>
          <w:r w:rsidRPr="0012192D">
            <w:rPr>
              <w:lang w:val="fr-FR"/>
            </w:rPr>
            <w:lastRenderedPageBreak/>
            <w:t>Gestion de l’évaluation</w:t>
          </w:r>
        </w:p>
        <w:tbl>
          <w:tblPr>
            <w:tblStyle w:val="TableGrid"/>
            <w:tblW w:w="9918" w:type="dxa"/>
            <w:tblLook w:val="04A0" w:firstRow="1" w:lastRow="0" w:firstColumn="1" w:lastColumn="0" w:noHBand="0" w:noVBand="1"/>
          </w:tblPr>
          <w:tblGrid>
            <w:gridCol w:w="9918"/>
          </w:tblGrid>
          <w:tr w:rsidR="00473482" w:rsidRPr="006943C6" w14:paraId="5C33A6FD" w14:textId="77777777" w:rsidTr="0A38F48B">
            <w:tc>
              <w:tcPr>
                <w:tcW w:w="9918" w:type="dxa"/>
              </w:tcPr>
              <w:p w14:paraId="552B5DE7" w14:textId="0CF881E9" w:rsidR="000A069E" w:rsidRPr="000A069E" w:rsidRDefault="000A069E" w:rsidP="000A069E">
                <w:pPr>
                  <w:jc w:val="both"/>
                  <w:rPr>
                    <w:color w:val="auto"/>
                    <w:sz w:val="24"/>
                    <w:szCs w:val="24"/>
                    <w:lang w:val="fr-FR"/>
                  </w:rPr>
                </w:pPr>
                <w:r w:rsidRPr="000A069E">
                  <w:rPr>
                    <w:color w:val="auto"/>
                    <w:sz w:val="24"/>
                    <w:szCs w:val="24"/>
                    <w:lang w:val="fr-FR"/>
                  </w:rPr>
                  <w:t xml:space="preserve">La personne chargée de veiller à ce que cette évaluation ait lieu est la Directrice Pays. Un responsable de l'évaluation, </w:t>
                </w:r>
                <w:r w:rsidR="00A001EB">
                  <w:rPr>
                    <w:color w:val="auto"/>
                    <w:sz w:val="24"/>
                    <w:szCs w:val="24"/>
                    <w:lang w:val="fr-FR"/>
                  </w:rPr>
                  <w:t xml:space="preserve">le </w:t>
                </w:r>
                <w:r w:rsidRPr="000A069E">
                  <w:rPr>
                    <w:color w:val="auto"/>
                    <w:sz w:val="24"/>
                    <w:szCs w:val="24"/>
                    <w:lang w:val="fr-FR"/>
                  </w:rPr>
                  <w:t xml:space="preserve">Manager SERA, a été nommé pour coordonner le processus en interne et sera le point focal principal </w:t>
                </w:r>
                <w:r w:rsidR="00A001EB">
                  <w:rPr>
                    <w:color w:val="auto"/>
                    <w:sz w:val="24"/>
                    <w:szCs w:val="24"/>
                    <w:lang w:val="fr-FR"/>
                  </w:rPr>
                  <w:t>chez NRC pour la communication avec</w:t>
                </w:r>
                <w:r w:rsidR="00A001EB" w:rsidRPr="000A069E">
                  <w:rPr>
                    <w:color w:val="auto"/>
                    <w:sz w:val="24"/>
                    <w:szCs w:val="24"/>
                    <w:lang w:val="fr-FR"/>
                  </w:rPr>
                  <w:t xml:space="preserve"> </w:t>
                </w:r>
                <w:r w:rsidRPr="000A069E">
                  <w:rPr>
                    <w:color w:val="auto"/>
                    <w:sz w:val="24"/>
                    <w:szCs w:val="24"/>
                    <w:lang w:val="fr-FR"/>
                  </w:rPr>
                  <w:t>l'équipe d'évaluation.</w:t>
                </w:r>
              </w:p>
              <w:p w14:paraId="3B74174A" w14:textId="77777777" w:rsidR="000A069E" w:rsidRPr="000A069E" w:rsidRDefault="000A069E" w:rsidP="000A069E">
                <w:pPr>
                  <w:jc w:val="both"/>
                  <w:rPr>
                    <w:color w:val="auto"/>
                    <w:sz w:val="24"/>
                    <w:szCs w:val="24"/>
                    <w:lang w:val="fr-FR"/>
                  </w:rPr>
                </w:pPr>
              </w:p>
              <w:p w14:paraId="7BBE464C" w14:textId="77777777" w:rsidR="000A069E" w:rsidRPr="000A069E" w:rsidRDefault="000A069E" w:rsidP="000A069E">
                <w:pPr>
                  <w:rPr>
                    <w:color w:val="auto"/>
                    <w:sz w:val="24"/>
                    <w:szCs w:val="24"/>
                    <w:lang w:val="fr-FR"/>
                  </w:rPr>
                </w:pPr>
                <w:r w:rsidRPr="000A069E">
                  <w:rPr>
                    <w:color w:val="auto"/>
                    <w:sz w:val="24"/>
                    <w:szCs w:val="24"/>
                    <w:lang w:val="fr-FR"/>
                  </w:rPr>
                  <w:t>Un comité de pilotage a été mise en place par le NRC, avec les membres suivants :</w:t>
                </w:r>
              </w:p>
              <w:p w14:paraId="4D9BDA94" w14:textId="67F5C9CD" w:rsidR="000A069E" w:rsidRPr="000A069E" w:rsidRDefault="59472B11" w:rsidP="000A069E">
                <w:pPr>
                  <w:pStyle w:val="ListParagraph"/>
                  <w:numPr>
                    <w:ilvl w:val="1"/>
                    <w:numId w:val="39"/>
                  </w:numPr>
                  <w:spacing w:after="0"/>
                  <w:ind w:left="601"/>
                  <w:rPr>
                    <w:color w:val="auto"/>
                    <w:sz w:val="24"/>
                    <w:szCs w:val="24"/>
                    <w:lang w:val="fr-FR"/>
                  </w:rPr>
                </w:pPr>
                <w:r w:rsidRPr="0A38F48B">
                  <w:rPr>
                    <w:color w:val="auto"/>
                    <w:sz w:val="24"/>
                    <w:szCs w:val="24"/>
                    <w:lang w:val="fr-FR"/>
                  </w:rPr>
                  <w:t>Un président du comité de pilotage :</w:t>
                </w:r>
                <w:r w:rsidR="00A001EB">
                  <w:rPr>
                    <w:color w:val="auto"/>
                    <w:sz w:val="24"/>
                    <w:szCs w:val="24"/>
                    <w:lang w:val="fr-FR"/>
                  </w:rPr>
                  <w:t xml:space="preserve"> </w:t>
                </w:r>
                <w:r w:rsidR="00853727">
                  <w:rPr>
                    <w:color w:val="auto"/>
                    <w:sz w:val="24"/>
                    <w:szCs w:val="24"/>
                    <w:lang w:val="fr-FR"/>
                  </w:rPr>
                  <w:t>MacLean Natugasha, Directrice Pays</w:t>
                </w:r>
              </w:p>
              <w:p w14:paraId="6F1D3B1A" w14:textId="6514B07F" w:rsidR="000A069E" w:rsidRPr="000A069E" w:rsidRDefault="000A069E" w:rsidP="000A069E">
                <w:pPr>
                  <w:pStyle w:val="ListParagraph"/>
                  <w:numPr>
                    <w:ilvl w:val="1"/>
                    <w:numId w:val="39"/>
                  </w:numPr>
                  <w:spacing w:after="0"/>
                  <w:ind w:left="601"/>
                  <w:rPr>
                    <w:color w:val="auto"/>
                    <w:sz w:val="24"/>
                    <w:szCs w:val="24"/>
                    <w:lang w:val="fr-FR"/>
                  </w:rPr>
                </w:pPr>
                <w:r w:rsidRPr="000A069E">
                  <w:rPr>
                    <w:color w:val="auto"/>
                    <w:sz w:val="24"/>
                    <w:szCs w:val="24"/>
                    <w:lang w:val="fr-FR"/>
                  </w:rPr>
                  <w:t>Un responsable de l'évaluation :</w:t>
                </w:r>
                <w:r w:rsidR="00A001EB">
                  <w:rPr>
                    <w:color w:val="auto"/>
                    <w:sz w:val="24"/>
                    <w:szCs w:val="24"/>
                    <w:lang w:val="fr-FR"/>
                  </w:rPr>
                  <w:t xml:space="preserve"> </w:t>
                </w:r>
                <w:r w:rsidR="00853727">
                  <w:rPr>
                    <w:color w:val="auto"/>
                    <w:sz w:val="24"/>
                    <w:szCs w:val="24"/>
                    <w:lang w:val="fr-FR"/>
                  </w:rPr>
                  <w:t>Erick Ngoga, Manager SERA</w:t>
                </w:r>
              </w:p>
              <w:p w14:paraId="4F713E65" w14:textId="24196E17" w:rsidR="000A069E" w:rsidRPr="000A069E" w:rsidRDefault="000A069E" w:rsidP="00EA03DB">
                <w:pPr>
                  <w:pStyle w:val="ListParagraph"/>
                  <w:numPr>
                    <w:ilvl w:val="1"/>
                    <w:numId w:val="39"/>
                  </w:numPr>
                  <w:spacing w:after="0"/>
                  <w:ind w:left="601"/>
                  <w:rPr>
                    <w:color w:val="auto"/>
                    <w:sz w:val="24"/>
                    <w:szCs w:val="24"/>
                    <w:lang w:val="fr-FR"/>
                  </w:rPr>
                </w:pPr>
                <w:r w:rsidRPr="000A069E">
                  <w:rPr>
                    <w:color w:val="auto"/>
                    <w:sz w:val="24"/>
                    <w:szCs w:val="24"/>
                    <w:lang w:val="fr-FR"/>
                  </w:rPr>
                  <w:t>Trois membres du comité de pilotage</w:t>
                </w:r>
                <w:r w:rsidR="00A001EB">
                  <w:rPr>
                    <w:color w:val="auto"/>
                    <w:sz w:val="24"/>
                    <w:szCs w:val="24"/>
                    <w:lang w:val="fr-FR"/>
                  </w:rPr>
                  <w:t xml:space="preserve"> : </w:t>
                </w:r>
                <w:r w:rsidR="00853727" w:rsidRPr="00853727">
                  <w:rPr>
                    <w:color w:val="auto"/>
                    <w:sz w:val="24"/>
                    <w:szCs w:val="24"/>
                    <w:lang w:val="fr-FR"/>
                  </w:rPr>
                  <w:t>Ouyagale Emma Yeo</w:t>
                </w:r>
                <w:r w:rsidR="00853727" w:rsidRPr="00EA03DB">
                  <w:rPr>
                    <w:color w:val="auto"/>
                    <w:sz w:val="24"/>
                    <w:szCs w:val="24"/>
                    <w:lang w:val="fr-FR"/>
                  </w:rPr>
                  <w:t xml:space="preserve">, Spécialiste ICLA ● </w:t>
                </w:r>
                <w:r w:rsidR="00853727" w:rsidRPr="00853727">
                  <w:rPr>
                    <w:color w:val="auto"/>
                    <w:sz w:val="24"/>
                    <w:szCs w:val="24"/>
                    <w:lang w:val="fr-FR"/>
                  </w:rPr>
                  <w:t>Amani Barhafumwa John</w:t>
                </w:r>
                <w:r w:rsidR="00853727">
                  <w:rPr>
                    <w:color w:val="auto"/>
                    <w:sz w:val="24"/>
                    <w:szCs w:val="24"/>
                    <w:lang w:val="fr-FR"/>
                  </w:rPr>
                  <w:t xml:space="preserve">, Manager du programme de réponse rapide aux mouvements de la population ● </w:t>
                </w:r>
                <w:r w:rsidR="004141C4" w:rsidRPr="004141C4">
                  <w:rPr>
                    <w:color w:val="auto"/>
                    <w:sz w:val="24"/>
                    <w:szCs w:val="24"/>
                    <w:lang w:val="fr-FR"/>
                  </w:rPr>
                  <w:t>Theoneste Nkurunziza</w:t>
                </w:r>
                <w:r w:rsidR="004141C4">
                  <w:rPr>
                    <w:color w:val="auto"/>
                    <w:sz w:val="24"/>
                    <w:szCs w:val="24"/>
                    <w:lang w:val="fr-FR"/>
                  </w:rPr>
                  <w:t>, Manager de Développement des programmes d’EHA, Abri et infrastructures</w:t>
                </w:r>
              </w:p>
              <w:p w14:paraId="5C33A6FC" w14:textId="0861CCED" w:rsidR="00473482" w:rsidRPr="00EA03DB" w:rsidRDefault="00473482" w:rsidP="00EA03DB">
                <w:pPr>
                  <w:rPr>
                    <w:color w:val="auto"/>
                    <w:sz w:val="24"/>
                    <w:szCs w:val="24"/>
                    <w:lang w:val="fr-FR"/>
                  </w:rPr>
                </w:pPr>
              </w:p>
            </w:tc>
          </w:tr>
        </w:tbl>
        <w:p w14:paraId="5C33A6FE" w14:textId="77777777" w:rsidR="00473482" w:rsidRPr="000A069E" w:rsidRDefault="00473482" w:rsidP="00473482">
          <w:pPr>
            <w:spacing w:after="0" w:line="240" w:lineRule="auto"/>
            <w:jc w:val="both"/>
            <w:rPr>
              <w:rFonts w:ascii="Calibri" w:hAnsi="Calibri" w:cs="Calibri"/>
              <w:b/>
              <w:lang w:val="fr-FR"/>
            </w:rPr>
          </w:pPr>
        </w:p>
        <w:p w14:paraId="5C33A6FF" w14:textId="4BA64FDE" w:rsidR="00473482" w:rsidRPr="00B47A62" w:rsidRDefault="00B47A62" w:rsidP="00D76A0C">
          <w:pPr>
            <w:pStyle w:val="Heading1"/>
            <w:rPr>
              <w:lang w:val="fr-FR"/>
            </w:rPr>
          </w:pPr>
          <w:r w:rsidRPr="0A38F48B">
            <w:rPr>
              <w:lang w:val="fr-FR"/>
            </w:rPr>
            <w:t>Livrables et échéances de rapportage</w:t>
          </w:r>
        </w:p>
        <w:tbl>
          <w:tblPr>
            <w:tblStyle w:val="TableGrid"/>
            <w:tblW w:w="9918" w:type="dxa"/>
            <w:tblLook w:val="04A0" w:firstRow="1" w:lastRow="0" w:firstColumn="1" w:lastColumn="0" w:noHBand="0" w:noVBand="1"/>
          </w:tblPr>
          <w:tblGrid>
            <w:gridCol w:w="9918"/>
          </w:tblGrid>
          <w:tr w:rsidR="00473482" w:rsidRPr="006943C6" w14:paraId="5C33A703" w14:textId="77777777" w:rsidTr="0A38F48B">
            <w:tc>
              <w:tcPr>
                <w:tcW w:w="9918" w:type="dxa"/>
              </w:tcPr>
              <w:p w14:paraId="2F644A83" w14:textId="77777777" w:rsidR="00553837" w:rsidRPr="00F3123F" w:rsidRDefault="00553837" w:rsidP="00553837">
                <w:pPr>
                  <w:rPr>
                    <w:sz w:val="24"/>
                    <w:szCs w:val="24"/>
                    <w:lang w:val="fr-FR"/>
                  </w:rPr>
                </w:pPr>
                <w:r w:rsidRPr="00F3123F">
                  <w:rPr>
                    <w:sz w:val="24"/>
                    <w:szCs w:val="24"/>
                    <w:lang w:val="fr-FR"/>
                  </w:rPr>
                  <w:t>Le/e consultant/e fournira, sur la base d'un plan de travail convenu :</w:t>
                </w:r>
              </w:p>
              <w:p w14:paraId="3A5EC6BE" w14:textId="5A444226" w:rsidR="00553837" w:rsidRPr="00F3123F" w:rsidRDefault="442C4866" w:rsidP="00853727">
                <w:pPr>
                  <w:pStyle w:val="ListParagraph"/>
                  <w:numPr>
                    <w:ilvl w:val="0"/>
                    <w:numId w:val="45"/>
                  </w:numPr>
                  <w:spacing w:after="160"/>
                  <w:contextualSpacing/>
                  <w:rPr>
                    <w:sz w:val="24"/>
                    <w:szCs w:val="24"/>
                    <w:lang w:val="fr-FR"/>
                  </w:rPr>
                </w:pPr>
                <w:r w:rsidRPr="0A38F48B">
                  <w:rPr>
                    <w:sz w:val="24"/>
                    <w:szCs w:val="24"/>
                    <w:lang w:val="fr-FR"/>
                  </w:rPr>
                  <w:t>Un rapport initial d'évaluatio</w:t>
                </w:r>
                <w:r w:rsidR="00A001EB">
                  <w:rPr>
                    <w:sz w:val="24"/>
                    <w:szCs w:val="24"/>
                    <w:lang w:val="fr-FR"/>
                  </w:rPr>
                  <w:t>n</w:t>
                </w:r>
                <w:r w:rsidRPr="0A38F48B">
                  <w:rPr>
                    <w:sz w:val="24"/>
                    <w:szCs w:val="24"/>
                    <w:lang w:val="fr-FR"/>
                  </w:rPr>
                  <w:t xml:space="preserve"> </w:t>
                </w:r>
                <w:r w:rsidR="00A001EB">
                  <w:rPr>
                    <w:sz w:val="24"/>
                    <w:szCs w:val="24"/>
                    <w:lang w:val="fr-FR"/>
                  </w:rPr>
                  <w:t>(</w:t>
                </w:r>
                <w:r w:rsidRPr="0A38F48B">
                  <w:rPr>
                    <w:sz w:val="24"/>
                    <w:szCs w:val="24"/>
                    <w:lang w:val="fr-FR"/>
                  </w:rPr>
                  <w:t>utilisant le modèle standard du NRC) avec la méthodologie proposée pour l'évaluation</w:t>
                </w:r>
                <w:r w:rsidR="00FD408E">
                  <w:rPr>
                    <w:sz w:val="24"/>
                    <w:szCs w:val="24"/>
                    <w:lang w:val="fr-FR"/>
                  </w:rPr>
                  <w:t xml:space="preserve">, </w:t>
                </w:r>
                <w:r w:rsidRPr="0A38F48B">
                  <w:rPr>
                    <w:sz w:val="24"/>
                    <w:szCs w:val="24"/>
                    <w:lang w:val="fr-FR"/>
                  </w:rPr>
                  <w:t>un plan de travail détaillé</w:t>
                </w:r>
                <w:r w:rsidR="00FD408E">
                  <w:rPr>
                    <w:sz w:val="24"/>
                    <w:szCs w:val="24"/>
                    <w:lang w:val="fr-FR"/>
                  </w:rPr>
                  <w:t>, les outils de collecte des données, et la matrice d’évaluation mise à jour sur base des commentaires et suggestions du comité de pilotage</w:t>
                </w:r>
                <w:r w:rsidR="00552711">
                  <w:rPr>
                    <w:sz w:val="24"/>
                    <w:szCs w:val="24"/>
                    <w:lang w:val="fr-FR"/>
                  </w:rPr>
                  <w:t>) approuvé par le comité de pilotage</w:t>
                </w:r>
              </w:p>
              <w:p w14:paraId="60FB3EEA" w14:textId="59291787" w:rsidR="00553837" w:rsidRPr="00F3123F" w:rsidRDefault="00FD408E" w:rsidP="00853727">
                <w:pPr>
                  <w:pStyle w:val="ListParagraph"/>
                  <w:numPr>
                    <w:ilvl w:val="0"/>
                    <w:numId w:val="45"/>
                  </w:numPr>
                  <w:spacing w:after="160"/>
                  <w:contextualSpacing/>
                  <w:rPr>
                    <w:sz w:val="24"/>
                    <w:szCs w:val="24"/>
                    <w:lang w:val="fr-FR"/>
                  </w:rPr>
                </w:pPr>
                <w:r>
                  <w:rPr>
                    <w:sz w:val="24"/>
                    <w:szCs w:val="24"/>
                    <w:lang w:val="fr-FR"/>
                  </w:rPr>
                  <w:t>U</w:t>
                </w:r>
                <w:r w:rsidR="00553837" w:rsidRPr="00F3123F">
                  <w:rPr>
                    <w:sz w:val="24"/>
                    <w:szCs w:val="24"/>
                    <w:lang w:val="fr-FR"/>
                  </w:rPr>
                  <w:t>n atelier de validation avec l'équipe Programme, le groupe de gestion pays et les équipes de mise en œuvre</w:t>
                </w:r>
              </w:p>
              <w:p w14:paraId="21A97352" w14:textId="77777777" w:rsidR="00553837" w:rsidRPr="00F3123F" w:rsidRDefault="442C4866" w:rsidP="00853727">
                <w:pPr>
                  <w:pStyle w:val="ListParagraph"/>
                  <w:numPr>
                    <w:ilvl w:val="0"/>
                    <w:numId w:val="45"/>
                  </w:numPr>
                  <w:spacing w:after="160"/>
                  <w:contextualSpacing/>
                  <w:rPr>
                    <w:sz w:val="24"/>
                    <w:szCs w:val="24"/>
                    <w:lang w:val="fr-FR"/>
                  </w:rPr>
                </w:pPr>
                <w:r w:rsidRPr="0A38F48B">
                  <w:rPr>
                    <w:sz w:val="24"/>
                    <w:szCs w:val="24"/>
                    <w:lang w:val="fr-FR"/>
                  </w:rPr>
                  <w:t>Un projet de rapport d'évaluation selon le modèle standard du NRC</w:t>
                </w:r>
              </w:p>
              <w:p w14:paraId="65135778" w14:textId="1349CD89" w:rsidR="00553837" w:rsidRPr="00F3123F" w:rsidRDefault="00553837" w:rsidP="00853727">
                <w:pPr>
                  <w:pStyle w:val="ListParagraph"/>
                  <w:numPr>
                    <w:ilvl w:val="0"/>
                    <w:numId w:val="45"/>
                  </w:numPr>
                  <w:spacing w:after="160"/>
                  <w:contextualSpacing/>
                  <w:rPr>
                    <w:sz w:val="24"/>
                    <w:szCs w:val="24"/>
                    <w:lang w:val="fr-FR"/>
                  </w:rPr>
                </w:pPr>
                <w:r w:rsidRPr="00F3123F">
                  <w:rPr>
                    <w:sz w:val="24"/>
                    <w:szCs w:val="24"/>
                    <w:lang w:val="fr-FR"/>
                  </w:rPr>
                  <w:t xml:space="preserve">Un rapport d'évaluation final de </w:t>
                </w:r>
                <w:r w:rsidR="00FD408E">
                  <w:rPr>
                    <w:sz w:val="24"/>
                    <w:szCs w:val="24"/>
                    <w:lang w:val="fr-FR"/>
                  </w:rPr>
                  <w:t xml:space="preserve">30 à 35 pages au </w:t>
                </w:r>
                <w:r w:rsidRPr="00F3123F">
                  <w:rPr>
                    <w:sz w:val="24"/>
                    <w:szCs w:val="24"/>
                    <w:lang w:val="fr-FR"/>
                  </w:rPr>
                  <w:t xml:space="preserve">maximum (hors les annexes) en français </w:t>
                </w:r>
              </w:p>
              <w:p w14:paraId="2E00C05E" w14:textId="115EC6C1" w:rsidR="00473482" w:rsidRPr="00EA03DB" w:rsidRDefault="00553837" w:rsidP="00853727">
                <w:pPr>
                  <w:pStyle w:val="ListParagraph"/>
                  <w:numPr>
                    <w:ilvl w:val="0"/>
                    <w:numId w:val="45"/>
                  </w:numPr>
                  <w:spacing w:after="160"/>
                  <w:contextualSpacing/>
                  <w:rPr>
                    <w:sz w:val="24"/>
                    <w:szCs w:val="24"/>
                    <w:lang w:val="fr-FR"/>
                  </w:rPr>
                </w:pPr>
                <w:r w:rsidRPr="00F3123F">
                  <w:rPr>
                    <w:sz w:val="24"/>
                    <w:szCs w:val="24"/>
                    <w:lang w:val="fr-FR"/>
                  </w:rPr>
                  <w:t>Un résumé exécutif traduit en anglais</w:t>
                </w:r>
                <w:r w:rsidR="00473482" w:rsidRPr="00F3123F">
                  <w:rPr>
                    <w:rFonts w:cs="Calibri"/>
                    <w:color w:val="auto"/>
                    <w:sz w:val="24"/>
                    <w:szCs w:val="24"/>
                    <w:lang w:val="fr-FR"/>
                  </w:rPr>
                  <w:t xml:space="preserve">.  </w:t>
                </w:r>
              </w:p>
              <w:p w14:paraId="5C33A702" w14:textId="73071D6A" w:rsidR="00552711" w:rsidRPr="00F3123F" w:rsidRDefault="00552711" w:rsidP="00853727">
                <w:pPr>
                  <w:pStyle w:val="ListParagraph"/>
                  <w:numPr>
                    <w:ilvl w:val="0"/>
                    <w:numId w:val="45"/>
                  </w:numPr>
                  <w:spacing w:after="160"/>
                  <w:contextualSpacing/>
                  <w:rPr>
                    <w:sz w:val="24"/>
                    <w:szCs w:val="24"/>
                    <w:lang w:val="fr-FR"/>
                  </w:rPr>
                </w:pPr>
                <w:r w:rsidRPr="00552711">
                  <w:rPr>
                    <w:sz w:val="24"/>
                    <w:szCs w:val="24"/>
                    <w:lang w:val="fr-FR"/>
                  </w:rPr>
                  <w:t>Une collection de toutes les données brutes collectées dans le cadre de l’évaluation</w:t>
                </w:r>
              </w:p>
            </w:tc>
          </w:tr>
        </w:tbl>
        <w:p w14:paraId="5C33A704" w14:textId="76B6CD39" w:rsidR="00473482" w:rsidRDefault="00473482" w:rsidP="00473482">
          <w:pPr>
            <w:jc w:val="both"/>
            <w:rPr>
              <w:rFonts w:ascii="Calibri" w:hAnsi="Calibri" w:cs="Calibri"/>
              <w:lang w:val="fr-FR"/>
            </w:rPr>
          </w:pPr>
        </w:p>
        <w:p w14:paraId="5DEC0375" w14:textId="5821A79E" w:rsidR="001A37BD" w:rsidRDefault="001A37BD" w:rsidP="00473482">
          <w:pPr>
            <w:jc w:val="both"/>
            <w:rPr>
              <w:rFonts w:ascii="Calibri" w:hAnsi="Calibri" w:cs="Calibri"/>
              <w:lang w:val="fr-FR"/>
            </w:rPr>
          </w:pPr>
        </w:p>
        <w:p w14:paraId="1E284619" w14:textId="38668971" w:rsidR="001A37BD" w:rsidRDefault="001A37BD" w:rsidP="00473482">
          <w:pPr>
            <w:jc w:val="both"/>
            <w:rPr>
              <w:rFonts w:ascii="Calibri" w:hAnsi="Calibri" w:cs="Calibri"/>
              <w:lang w:val="fr-FR"/>
            </w:rPr>
          </w:pPr>
        </w:p>
        <w:p w14:paraId="50B38DF7" w14:textId="71F14701" w:rsidR="001A37BD" w:rsidRDefault="001A37BD" w:rsidP="00473482">
          <w:pPr>
            <w:jc w:val="both"/>
            <w:rPr>
              <w:rFonts w:ascii="Calibri" w:hAnsi="Calibri" w:cs="Calibri"/>
              <w:lang w:val="fr-FR"/>
            </w:rPr>
          </w:pPr>
        </w:p>
        <w:p w14:paraId="503DED4B" w14:textId="77777777" w:rsidR="001A37BD" w:rsidRPr="00553837" w:rsidRDefault="001A37BD" w:rsidP="00473482">
          <w:pPr>
            <w:jc w:val="both"/>
            <w:rPr>
              <w:rFonts w:ascii="Calibri" w:hAnsi="Calibri" w:cs="Calibri"/>
              <w:lang w:val="fr-FR"/>
            </w:rPr>
          </w:pPr>
        </w:p>
        <w:p w14:paraId="5C33A705" w14:textId="54A2D60C" w:rsidR="00473482" w:rsidRPr="00553837" w:rsidRDefault="00B47A62" w:rsidP="00D76A0C">
          <w:pPr>
            <w:pStyle w:val="Heading1"/>
            <w:rPr>
              <w:lang w:val="fr-FR"/>
            </w:rPr>
          </w:pPr>
          <w:r w:rsidRPr="0A38F48B">
            <w:rPr>
              <w:lang w:val="fr-FR"/>
            </w:rPr>
            <w:lastRenderedPageBreak/>
            <w:t>Chronogramme</w:t>
          </w:r>
        </w:p>
        <w:tbl>
          <w:tblPr>
            <w:tblStyle w:val="TableGrid"/>
            <w:tblW w:w="9918" w:type="dxa"/>
            <w:jc w:val="center"/>
            <w:tblLayout w:type="fixed"/>
            <w:tblLook w:val="04A0" w:firstRow="1" w:lastRow="0" w:firstColumn="1" w:lastColumn="0" w:noHBand="0" w:noVBand="1"/>
          </w:tblPr>
          <w:tblGrid>
            <w:gridCol w:w="9918"/>
          </w:tblGrid>
          <w:tr w:rsidR="00473482" w:rsidRPr="006943C6" w14:paraId="5C33A70B" w14:textId="77777777" w:rsidTr="00EA03DB">
            <w:trPr>
              <w:jc w:val="center"/>
            </w:trPr>
            <w:tc>
              <w:tcPr>
                <w:tcW w:w="9918" w:type="dxa"/>
              </w:tcPr>
              <w:tbl>
                <w:tblPr>
                  <w:tblW w:w="9762" w:type="dxa"/>
                  <w:tblLayout w:type="fixed"/>
                  <w:tblCellMar>
                    <w:left w:w="70" w:type="dxa"/>
                    <w:right w:w="70" w:type="dxa"/>
                  </w:tblCellMar>
                  <w:tblLook w:val="04A0" w:firstRow="1" w:lastRow="0" w:firstColumn="1" w:lastColumn="0" w:noHBand="0" w:noVBand="1"/>
                </w:tblPr>
                <w:tblGrid>
                  <w:gridCol w:w="422"/>
                  <w:gridCol w:w="6739"/>
                  <w:gridCol w:w="201"/>
                  <w:gridCol w:w="200"/>
                  <w:gridCol w:w="200"/>
                  <w:gridCol w:w="200"/>
                  <w:gridCol w:w="200"/>
                  <w:gridCol w:w="200"/>
                  <w:gridCol w:w="200"/>
                  <w:gridCol w:w="200"/>
                  <w:gridCol w:w="202"/>
                  <w:gridCol w:w="201"/>
                  <w:gridCol w:w="199"/>
                  <w:gridCol w:w="199"/>
                  <w:gridCol w:w="199"/>
                </w:tblGrid>
                <w:tr w:rsidR="00577798" w:rsidRPr="008F2FB9" w14:paraId="67953045" w14:textId="77777777" w:rsidTr="00EA03DB">
                  <w:trPr>
                    <w:trHeight w:val="336"/>
                  </w:trPr>
                  <w:tc>
                    <w:tcPr>
                      <w:tcW w:w="422" w:type="dxa"/>
                      <w:tcBorders>
                        <w:top w:val="single" w:sz="8" w:space="0" w:color="auto"/>
                        <w:left w:val="single" w:sz="8" w:space="0" w:color="auto"/>
                        <w:bottom w:val="single" w:sz="4" w:space="0" w:color="auto"/>
                        <w:right w:val="single" w:sz="8" w:space="0" w:color="auto"/>
                      </w:tcBorders>
                      <w:shd w:val="clear" w:color="auto" w:fill="00B0F0"/>
                      <w:vAlign w:val="center"/>
                      <w:hideMark/>
                    </w:tcPr>
                    <w:p w14:paraId="5D72668F" w14:textId="77777777" w:rsidR="00577798" w:rsidRPr="00196267" w:rsidRDefault="00577798" w:rsidP="00196267">
                      <w:pPr>
                        <w:spacing w:after="0" w:line="240" w:lineRule="auto"/>
                        <w:jc w:val="center"/>
                        <w:rPr>
                          <w:rFonts w:ascii="Franklin Gothic Book" w:eastAsia="Times New Roman" w:hAnsi="Franklin Gothic Book" w:cs="Calibri"/>
                          <w:color w:val="000000"/>
                          <w:sz w:val="18"/>
                          <w:szCs w:val="18"/>
                          <w:lang w:val="fr-FR" w:eastAsia="fr-FR"/>
                        </w:rPr>
                      </w:pPr>
                      <w:r w:rsidRPr="00196267">
                        <w:rPr>
                          <w:rFonts w:ascii="Franklin Gothic Book" w:eastAsia="Times New Roman" w:hAnsi="Franklin Gothic Book" w:cs="Calibri"/>
                          <w:color w:val="000000"/>
                          <w:sz w:val="18"/>
                          <w:szCs w:val="18"/>
                          <w:lang w:val="fr-FR" w:eastAsia="fr-FR"/>
                        </w:rPr>
                        <w:t>#</w:t>
                      </w:r>
                    </w:p>
                  </w:tc>
                  <w:tc>
                    <w:tcPr>
                      <w:tcW w:w="6739" w:type="dxa"/>
                      <w:tcBorders>
                        <w:top w:val="single" w:sz="8" w:space="0" w:color="auto"/>
                        <w:left w:val="nil"/>
                        <w:bottom w:val="single" w:sz="4" w:space="0" w:color="auto"/>
                        <w:right w:val="single" w:sz="8" w:space="0" w:color="auto"/>
                      </w:tcBorders>
                      <w:shd w:val="clear" w:color="auto" w:fill="00B0F0"/>
                      <w:vAlign w:val="center"/>
                      <w:hideMark/>
                    </w:tcPr>
                    <w:p w14:paraId="08D5629B" w14:textId="77777777" w:rsidR="00577798" w:rsidRPr="00196267" w:rsidRDefault="00577798" w:rsidP="00196267">
                      <w:pPr>
                        <w:spacing w:after="0" w:line="240" w:lineRule="auto"/>
                        <w:rPr>
                          <w:rFonts w:ascii="Franklin Gothic Book" w:eastAsia="Times New Roman" w:hAnsi="Franklin Gothic Book" w:cs="Calibri"/>
                          <w:color w:val="000000"/>
                          <w:sz w:val="18"/>
                          <w:szCs w:val="18"/>
                          <w:lang w:val="fr-FR" w:eastAsia="fr-FR"/>
                        </w:rPr>
                      </w:pPr>
                      <w:r w:rsidRPr="00196267">
                        <w:rPr>
                          <w:rFonts w:ascii="Franklin Gothic Book" w:eastAsia="Times New Roman" w:hAnsi="Franklin Gothic Book" w:cs="Calibri"/>
                          <w:color w:val="000000"/>
                          <w:sz w:val="18"/>
                          <w:szCs w:val="18"/>
                          <w:lang w:val="fr-FR" w:eastAsia="fr-FR"/>
                        </w:rPr>
                        <w:t>Etape</w:t>
                      </w:r>
                    </w:p>
                  </w:tc>
                  <w:tc>
                    <w:tcPr>
                      <w:tcW w:w="801" w:type="dxa"/>
                      <w:gridSpan w:val="4"/>
                      <w:tcBorders>
                        <w:top w:val="single" w:sz="8" w:space="0" w:color="auto"/>
                        <w:left w:val="nil"/>
                        <w:bottom w:val="single" w:sz="4" w:space="0" w:color="auto"/>
                        <w:right w:val="single" w:sz="8" w:space="0" w:color="000000"/>
                      </w:tcBorders>
                      <w:shd w:val="clear" w:color="auto" w:fill="B4C6E7"/>
                      <w:vAlign w:val="center"/>
                      <w:hideMark/>
                    </w:tcPr>
                    <w:p w14:paraId="4FA7C5EF" w14:textId="77777777" w:rsidR="00577798" w:rsidRDefault="00577798" w:rsidP="00196267">
                      <w:pPr>
                        <w:spacing w:after="0" w:line="240" w:lineRule="auto"/>
                        <w:jc w:val="center"/>
                        <w:rPr>
                          <w:rFonts w:ascii="Franklin Gothic Book" w:eastAsia="Times New Roman" w:hAnsi="Franklin Gothic Book" w:cs="Calibri"/>
                          <w:color w:val="000000"/>
                          <w:sz w:val="18"/>
                          <w:szCs w:val="18"/>
                          <w:lang w:val="fr-FR" w:eastAsia="fr-FR"/>
                        </w:rPr>
                      </w:pPr>
                      <w:r w:rsidRPr="00196267">
                        <w:rPr>
                          <w:rFonts w:ascii="Franklin Gothic Book" w:eastAsia="Times New Roman" w:hAnsi="Franklin Gothic Book" w:cs="Calibri"/>
                          <w:color w:val="000000"/>
                          <w:sz w:val="18"/>
                          <w:szCs w:val="18"/>
                          <w:lang w:val="fr-FR" w:eastAsia="fr-FR"/>
                        </w:rPr>
                        <w:t>Juillet</w:t>
                      </w:r>
                    </w:p>
                    <w:p w14:paraId="76EA9490" w14:textId="51FDE02E" w:rsidR="00577798" w:rsidRPr="00196267" w:rsidRDefault="00577798" w:rsidP="00196267">
                      <w:pPr>
                        <w:spacing w:after="0" w:line="240" w:lineRule="auto"/>
                        <w:jc w:val="center"/>
                        <w:rPr>
                          <w:rFonts w:ascii="Franklin Gothic Book" w:eastAsia="Times New Roman" w:hAnsi="Franklin Gothic Book" w:cs="Calibri"/>
                          <w:color w:val="000000"/>
                          <w:sz w:val="18"/>
                          <w:szCs w:val="18"/>
                          <w:lang w:val="fr-FR" w:eastAsia="fr-FR"/>
                        </w:rPr>
                      </w:pPr>
                      <w:r>
                        <w:rPr>
                          <w:rFonts w:ascii="Franklin Gothic Book" w:eastAsia="Times New Roman" w:hAnsi="Franklin Gothic Book" w:cs="Calibri"/>
                          <w:color w:val="000000"/>
                          <w:sz w:val="18"/>
                          <w:szCs w:val="18"/>
                          <w:lang w:val="fr-FR" w:eastAsia="fr-FR"/>
                        </w:rPr>
                        <w:t>2022</w:t>
                      </w:r>
                    </w:p>
                  </w:tc>
                  <w:tc>
                    <w:tcPr>
                      <w:tcW w:w="800" w:type="dxa"/>
                      <w:gridSpan w:val="4"/>
                      <w:tcBorders>
                        <w:top w:val="single" w:sz="8" w:space="0" w:color="auto"/>
                        <w:left w:val="nil"/>
                        <w:bottom w:val="single" w:sz="4" w:space="0" w:color="auto"/>
                        <w:right w:val="single" w:sz="8" w:space="0" w:color="000000"/>
                      </w:tcBorders>
                      <w:shd w:val="clear" w:color="auto" w:fill="C6E0B4"/>
                      <w:vAlign w:val="center"/>
                      <w:hideMark/>
                    </w:tcPr>
                    <w:p w14:paraId="11167535" w14:textId="77777777" w:rsidR="00577798" w:rsidRDefault="00577798" w:rsidP="00196267">
                      <w:pPr>
                        <w:spacing w:after="0" w:line="240" w:lineRule="auto"/>
                        <w:jc w:val="center"/>
                        <w:rPr>
                          <w:rFonts w:ascii="Franklin Gothic Book" w:eastAsia="Times New Roman" w:hAnsi="Franklin Gothic Book" w:cs="Calibri"/>
                          <w:color w:val="000000"/>
                          <w:sz w:val="18"/>
                          <w:szCs w:val="18"/>
                          <w:lang w:val="fr-FR" w:eastAsia="fr-FR"/>
                        </w:rPr>
                      </w:pPr>
                      <w:r w:rsidRPr="00196267">
                        <w:rPr>
                          <w:rFonts w:ascii="Franklin Gothic Book" w:eastAsia="Times New Roman" w:hAnsi="Franklin Gothic Book" w:cs="Calibri"/>
                          <w:color w:val="000000"/>
                          <w:sz w:val="18"/>
                          <w:szCs w:val="18"/>
                          <w:lang w:val="fr-FR" w:eastAsia="fr-FR"/>
                        </w:rPr>
                        <w:t>Aout</w:t>
                      </w:r>
                    </w:p>
                    <w:p w14:paraId="2052499B" w14:textId="063F2544" w:rsidR="00577798" w:rsidRPr="00196267" w:rsidRDefault="00577798" w:rsidP="00196267">
                      <w:pPr>
                        <w:spacing w:after="0" w:line="240" w:lineRule="auto"/>
                        <w:jc w:val="center"/>
                        <w:rPr>
                          <w:rFonts w:ascii="Franklin Gothic Book" w:eastAsia="Times New Roman" w:hAnsi="Franklin Gothic Book" w:cs="Calibri"/>
                          <w:color w:val="000000"/>
                          <w:sz w:val="18"/>
                          <w:szCs w:val="18"/>
                          <w:lang w:val="fr-FR" w:eastAsia="fr-FR"/>
                        </w:rPr>
                      </w:pPr>
                      <w:r>
                        <w:rPr>
                          <w:rFonts w:ascii="Franklin Gothic Book" w:eastAsia="Times New Roman" w:hAnsi="Franklin Gothic Book" w:cs="Calibri"/>
                          <w:color w:val="000000"/>
                          <w:sz w:val="18"/>
                          <w:szCs w:val="18"/>
                          <w:lang w:val="fr-FR" w:eastAsia="fr-FR"/>
                        </w:rPr>
                        <w:t>2022</w:t>
                      </w:r>
                    </w:p>
                  </w:tc>
                  <w:tc>
                    <w:tcPr>
                      <w:tcW w:w="1000" w:type="dxa"/>
                      <w:gridSpan w:val="5"/>
                      <w:tcBorders>
                        <w:top w:val="single" w:sz="8" w:space="0" w:color="auto"/>
                        <w:left w:val="nil"/>
                        <w:bottom w:val="single" w:sz="4" w:space="0" w:color="auto"/>
                        <w:right w:val="single" w:sz="8" w:space="0" w:color="000000"/>
                      </w:tcBorders>
                      <w:shd w:val="clear" w:color="auto" w:fill="B4C6E7"/>
                      <w:vAlign w:val="center"/>
                      <w:hideMark/>
                    </w:tcPr>
                    <w:p w14:paraId="1C01B335" w14:textId="77777777" w:rsidR="00577798" w:rsidRDefault="00577798" w:rsidP="00196267">
                      <w:pPr>
                        <w:spacing w:after="0" w:line="240" w:lineRule="auto"/>
                        <w:jc w:val="center"/>
                        <w:rPr>
                          <w:rFonts w:ascii="Franklin Gothic Book" w:eastAsia="Times New Roman" w:hAnsi="Franklin Gothic Book" w:cs="Calibri"/>
                          <w:color w:val="000000"/>
                          <w:sz w:val="18"/>
                          <w:szCs w:val="18"/>
                          <w:lang w:val="fr-FR" w:eastAsia="fr-FR"/>
                        </w:rPr>
                      </w:pPr>
                      <w:r w:rsidRPr="00196267">
                        <w:rPr>
                          <w:rFonts w:ascii="Franklin Gothic Book" w:eastAsia="Times New Roman" w:hAnsi="Franklin Gothic Book" w:cs="Calibri"/>
                          <w:color w:val="000000"/>
                          <w:sz w:val="18"/>
                          <w:szCs w:val="18"/>
                          <w:lang w:val="fr-FR" w:eastAsia="fr-FR"/>
                        </w:rPr>
                        <w:t>Sept.</w:t>
                      </w:r>
                    </w:p>
                    <w:p w14:paraId="0FDE8B5D" w14:textId="7FE790AA" w:rsidR="00577798" w:rsidRPr="00196267" w:rsidRDefault="00577798" w:rsidP="00196267">
                      <w:pPr>
                        <w:spacing w:after="0" w:line="240" w:lineRule="auto"/>
                        <w:jc w:val="center"/>
                        <w:rPr>
                          <w:rFonts w:ascii="Franklin Gothic Book" w:eastAsia="Times New Roman" w:hAnsi="Franklin Gothic Book" w:cs="Calibri"/>
                          <w:color w:val="000000"/>
                          <w:sz w:val="18"/>
                          <w:szCs w:val="18"/>
                          <w:lang w:val="fr-FR" w:eastAsia="fr-FR"/>
                        </w:rPr>
                      </w:pPr>
                      <w:r>
                        <w:rPr>
                          <w:rFonts w:ascii="Franklin Gothic Book" w:eastAsia="Times New Roman" w:hAnsi="Franklin Gothic Book" w:cs="Calibri"/>
                          <w:color w:val="000000"/>
                          <w:sz w:val="18"/>
                          <w:szCs w:val="18"/>
                          <w:lang w:val="fr-FR" w:eastAsia="fr-FR"/>
                        </w:rPr>
                        <w:t>2022</w:t>
                      </w:r>
                    </w:p>
                  </w:tc>
                </w:tr>
                <w:tr w:rsidR="00577798" w:rsidRPr="006943C6" w14:paraId="1CFB1446" w14:textId="77777777" w:rsidTr="00EA03DB">
                  <w:trPr>
                    <w:trHeight w:val="480"/>
                  </w:trPr>
                  <w:tc>
                    <w:tcPr>
                      <w:tcW w:w="422" w:type="dxa"/>
                      <w:tcBorders>
                        <w:top w:val="nil"/>
                        <w:left w:val="single" w:sz="8" w:space="0" w:color="auto"/>
                        <w:bottom w:val="single" w:sz="4" w:space="0" w:color="auto"/>
                        <w:right w:val="single" w:sz="8" w:space="0" w:color="auto"/>
                      </w:tcBorders>
                      <w:shd w:val="clear" w:color="auto" w:fill="auto"/>
                      <w:vAlign w:val="center"/>
                    </w:tcPr>
                    <w:p w14:paraId="164CBCAF" w14:textId="64D82E0E" w:rsidR="00577798" w:rsidRPr="008F2FB9" w:rsidRDefault="00577798" w:rsidP="00196267">
                      <w:pPr>
                        <w:spacing w:after="0" w:line="240" w:lineRule="auto"/>
                        <w:jc w:val="center"/>
                        <w:rPr>
                          <w:rFonts w:ascii="Franklin Gothic Book" w:eastAsia="Times New Roman" w:hAnsi="Franklin Gothic Book" w:cs="Calibri"/>
                          <w:color w:val="000000"/>
                          <w:sz w:val="16"/>
                          <w:szCs w:val="16"/>
                          <w:lang w:val="fr-FR" w:eastAsia="fr-FR"/>
                        </w:rPr>
                      </w:pPr>
                      <w:r>
                        <w:rPr>
                          <w:rFonts w:ascii="Franklin Gothic Book" w:eastAsia="Times New Roman" w:hAnsi="Franklin Gothic Book" w:cs="Calibri"/>
                          <w:color w:val="000000"/>
                          <w:sz w:val="16"/>
                          <w:szCs w:val="16"/>
                          <w:lang w:val="fr-FR" w:eastAsia="fr-FR"/>
                        </w:rPr>
                        <w:t>1</w:t>
                      </w:r>
                    </w:p>
                  </w:tc>
                  <w:tc>
                    <w:tcPr>
                      <w:tcW w:w="6739" w:type="dxa"/>
                      <w:tcBorders>
                        <w:top w:val="nil"/>
                        <w:left w:val="nil"/>
                        <w:bottom w:val="single" w:sz="4" w:space="0" w:color="auto"/>
                        <w:right w:val="single" w:sz="8" w:space="0" w:color="auto"/>
                      </w:tcBorders>
                      <w:shd w:val="clear" w:color="auto" w:fill="auto"/>
                      <w:vAlign w:val="center"/>
                      <w:hideMark/>
                    </w:tcPr>
                    <w:p w14:paraId="18EF353B"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Elaborer un plan d’évaluation (conception de l'évaluation, les méthodes et outils de collecte de données, une matrice d'évaluation)</w:t>
                      </w:r>
                    </w:p>
                  </w:tc>
                  <w:tc>
                    <w:tcPr>
                      <w:tcW w:w="201" w:type="dxa"/>
                      <w:tcBorders>
                        <w:top w:val="nil"/>
                        <w:left w:val="nil"/>
                        <w:bottom w:val="single" w:sz="4" w:space="0" w:color="auto"/>
                        <w:right w:val="single" w:sz="4" w:space="0" w:color="auto"/>
                      </w:tcBorders>
                      <w:shd w:val="clear" w:color="auto" w:fill="auto"/>
                      <w:noWrap/>
                      <w:vAlign w:val="bottom"/>
                      <w:hideMark/>
                    </w:tcPr>
                    <w:p w14:paraId="73ACB6BF"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FFC000"/>
                      <w:noWrap/>
                      <w:vAlign w:val="bottom"/>
                      <w:hideMark/>
                    </w:tcPr>
                    <w:p w14:paraId="43EBAD41"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FFC000"/>
                      <w:noWrap/>
                      <w:vAlign w:val="bottom"/>
                      <w:hideMark/>
                    </w:tcPr>
                    <w:p w14:paraId="436277CC"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339A9724"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4CA5053D"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71C6C1BC"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71033B8F"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2410DD4E"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2" w:type="dxa"/>
                      <w:tcBorders>
                        <w:top w:val="nil"/>
                        <w:left w:val="nil"/>
                        <w:bottom w:val="single" w:sz="4" w:space="0" w:color="auto"/>
                        <w:right w:val="single" w:sz="4" w:space="0" w:color="auto"/>
                      </w:tcBorders>
                      <w:shd w:val="clear" w:color="auto" w:fill="auto"/>
                      <w:noWrap/>
                      <w:vAlign w:val="bottom"/>
                      <w:hideMark/>
                    </w:tcPr>
                    <w:p w14:paraId="3606B2A8"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1" w:type="dxa"/>
                      <w:tcBorders>
                        <w:top w:val="nil"/>
                        <w:left w:val="nil"/>
                        <w:bottom w:val="single" w:sz="4" w:space="0" w:color="auto"/>
                        <w:right w:val="single" w:sz="4" w:space="0" w:color="auto"/>
                      </w:tcBorders>
                      <w:shd w:val="clear" w:color="auto" w:fill="auto"/>
                      <w:noWrap/>
                      <w:vAlign w:val="bottom"/>
                      <w:hideMark/>
                    </w:tcPr>
                    <w:p w14:paraId="3A00AF26"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474C0FA8"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4C018B7A"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8" w:space="0" w:color="auto"/>
                      </w:tcBorders>
                      <w:shd w:val="clear" w:color="auto" w:fill="auto"/>
                      <w:noWrap/>
                      <w:vAlign w:val="bottom"/>
                      <w:hideMark/>
                    </w:tcPr>
                    <w:p w14:paraId="7250B34A"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r>
                <w:tr w:rsidR="00577798" w:rsidRPr="006943C6" w14:paraId="70FBF3BE" w14:textId="77777777" w:rsidTr="00EA03DB">
                  <w:trPr>
                    <w:trHeight w:val="480"/>
                  </w:trPr>
                  <w:tc>
                    <w:tcPr>
                      <w:tcW w:w="422" w:type="dxa"/>
                      <w:tcBorders>
                        <w:top w:val="nil"/>
                        <w:left w:val="single" w:sz="8" w:space="0" w:color="auto"/>
                        <w:bottom w:val="single" w:sz="4" w:space="0" w:color="auto"/>
                        <w:right w:val="single" w:sz="8" w:space="0" w:color="auto"/>
                      </w:tcBorders>
                      <w:shd w:val="clear" w:color="auto" w:fill="auto"/>
                      <w:vAlign w:val="center"/>
                    </w:tcPr>
                    <w:p w14:paraId="6745749B" w14:textId="546BA88D" w:rsidR="00577798" w:rsidRPr="008F2FB9" w:rsidRDefault="00577798" w:rsidP="00196267">
                      <w:pPr>
                        <w:spacing w:after="0" w:line="240" w:lineRule="auto"/>
                        <w:jc w:val="center"/>
                        <w:rPr>
                          <w:rFonts w:ascii="Franklin Gothic Book" w:eastAsia="Times New Roman" w:hAnsi="Franklin Gothic Book" w:cs="Calibri"/>
                          <w:color w:val="000000"/>
                          <w:sz w:val="16"/>
                          <w:szCs w:val="16"/>
                          <w:lang w:val="fr-FR" w:eastAsia="fr-FR"/>
                        </w:rPr>
                      </w:pPr>
                      <w:r>
                        <w:rPr>
                          <w:rFonts w:ascii="Franklin Gothic Book" w:eastAsia="Times New Roman" w:hAnsi="Franklin Gothic Book" w:cs="Calibri"/>
                          <w:color w:val="000000"/>
                          <w:sz w:val="16"/>
                          <w:szCs w:val="16"/>
                          <w:lang w:val="fr-FR" w:eastAsia="fr-FR"/>
                        </w:rPr>
                        <w:t>2</w:t>
                      </w:r>
                    </w:p>
                  </w:tc>
                  <w:tc>
                    <w:tcPr>
                      <w:tcW w:w="6739" w:type="dxa"/>
                      <w:tcBorders>
                        <w:top w:val="nil"/>
                        <w:left w:val="nil"/>
                        <w:bottom w:val="single" w:sz="4" w:space="0" w:color="auto"/>
                        <w:right w:val="single" w:sz="8" w:space="0" w:color="auto"/>
                      </w:tcBorders>
                      <w:shd w:val="clear" w:color="auto" w:fill="auto"/>
                      <w:vAlign w:val="center"/>
                      <w:hideMark/>
                    </w:tcPr>
                    <w:p w14:paraId="6E973A78"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Soumission par le consultant/e, revue et approbation du rapport initial par NRC</w:t>
                      </w:r>
                    </w:p>
                  </w:tc>
                  <w:tc>
                    <w:tcPr>
                      <w:tcW w:w="201" w:type="dxa"/>
                      <w:tcBorders>
                        <w:top w:val="nil"/>
                        <w:left w:val="nil"/>
                        <w:bottom w:val="single" w:sz="4" w:space="0" w:color="auto"/>
                        <w:right w:val="single" w:sz="4" w:space="0" w:color="auto"/>
                      </w:tcBorders>
                      <w:shd w:val="clear" w:color="auto" w:fill="auto"/>
                      <w:noWrap/>
                      <w:vAlign w:val="bottom"/>
                      <w:hideMark/>
                    </w:tcPr>
                    <w:p w14:paraId="1B1A116A"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521AC827"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FFC000"/>
                      <w:noWrap/>
                      <w:vAlign w:val="bottom"/>
                      <w:hideMark/>
                    </w:tcPr>
                    <w:p w14:paraId="687D664B"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2DCA3B31"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424D8883"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337AEEE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0E2B90D9"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38609D83"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2" w:type="dxa"/>
                      <w:tcBorders>
                        <w:top w:val="nil"/>
                        <w:left w:val="nil"/>
                        <w:bottom w:val="single" w:sz="4" w:space="0" w:color="auto"/>
                        <w:right w:val="single" w:sz="4" w:space="0" w:color="auto"/>
                      </w:tcBorders>
                      <w:shd w:val="clear" w:color="auto" w:fill="auto"/>
                      <w:noWrap/>
                      <w:vAlign w:val="bottom"/>
                      <w:hideMark/>
                    </w:tcPr>
                    <w:p w14:paraId="6D878BC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1" w:type="dxa"/>
                      <w:tcBorders>
                        <w:top w:val="nil"/>
                        <w:left w:val="nil"/>
                        <w:bottom w:val="single" w:sz="4" w:space="0" w:color="auto"/>
                        <w:right w:val="single" w:sz="4" w:space="0" w:color="auto"/>
                      </w:tcBorders>
                      <w:shd w:val="clear" w:color="auto" w:fill="auto"/>
                      <w:noWrap/>
                      <w:vAlign w:val="bottom"/>
                      <w:hideMark/>
                    </w:tcPr>
                    <w:p w14:paraId="0409F4F6"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0D074688"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6B29759E"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8" w:space="0" w:color="auto"/>
                      </w:tcBorders>
                      <w:shd w:val="clear" w:color="auto" w:fill="auto"/>
                      <w:noWrap/>
                      <w:vAlign w:val="bottom"/>
                      <w:hideMark/>
                    </w:tcPr>
                    <w:p w14:paraId="309220AA"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r>
                <w:tr w:rsidR="00577798" w:rsidRPr="006943C6" w14:paraId="74EEB525" w14:textId="77777777" w:rsidTr="00EA03DB">
                  <w:trPr>
                    <w:trHeight w:val="480"/>
                  </w:trPr>
                  <w:tc>
                    <w:tcPr>
                      <w:tcW w:w="422" w:type="dxa"/>
                      <w:tcBorders>
                        <w:top w:val="nil"/>
                        <w:left w:val="single" w:sz="8" w:space="0" w:color="auto"/>
                        <w:bottom w:val="single" w:sz="4" w:space="0" w:color="auto"/>
                        <w:right w:val="single" w:sz="8" w:space="0" w:color="auto"/>
                      </w:tcBorders>
                      <w:shd w:val="clear" w:color="auto" w:fill="auto"/>
                      <w:vAlign w:val="center"/>
                    </w:tcPr>
                    <w:p w14:paraId="0CC2C600" w14:textId="412DFE6B" w:rsidR="00577798" w:rsidRPr="008F2FB9" w:rsidRDefault="00577798" w:rsidP="00196267">
                      <w:pPr>
                        <w:spacing w:after="0" w:line="240" w:lineRule="auto"/>
                        <w:jc w:val="center"/>
                        <w:rPr>
                          <w:rFonts w:ascii="Franklin Gothic Book" w:eastAsia="Times New Roman" w:hAnsi="Franklin Gothic Book" w:cs="Calibri"/>
                          <w:color w:val="000000"/>
                          <w:sz w:val="16"/>
                          <w:szCs w:val="16"/>
                          <w:lang w:val="fr-FR" w:eastAsia="fr-FR"/>
                        </w:rPr>
                      </w:pPr>
                      <w:r>
                        <w:rPr>
                          <w:rFonts w:ascii="Franklin Gothic Book" w:eastAsia="Times New Roman" w:hAnsi="Franklin Gothic Book" w:cs="Calibri"/>
                          <w:color w:val="000000"/>
                          <w:sz w:val="16"/>
                          <w:szCs w:val="16"/>
                          <w:lang w:val="fr-FR" w:eastAsia="fr-FR"/>
                        </w:rPr>
                        <w:t>3</w:t>
                      </w:r>
                    </w:p>
                  </w:tc>
                  <w:tc>
                    <w:tcPr>
                      <w:tcW w:w="6739" w:type="dxa"/>
                      <w:tcBorders>
                        <w:top w:val="nil"/>
                        <w:left w:val="nil"/>
                        <w:bottom w:val="single" w:sz="4" w:space="0" w:color="auto"/>
                        <w:right w:val="single" w:sz="8" w:space="0" w:color="auto"/>
                      </w:tcBorders>
                      <w:shd w:val="clear" w:color="auto" w:fill="auto"/>
                      <w:vAlign w:val="center"/>
                      <w:hideMark/>
                    </w:tcPr>
                    <w:p w14:paraId="273298C9"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Collecter les données pour répondre aux questions d'évaluation au Mali</w:t>
                      </w:r>
                    </w:p>
                  </w:tc>
                  <w:tc>
                    <w:tcPr>
                      <w:tcW w:w="201" w:type="dxa"/>
                      <w:tcBorders>
                        <w:top w:val="nil"/>
                        <w:left w:val="nil"/>
                        <w:bottom w:val="single" w:sz="4" w:space="0" w:color="auto"/>
                        <w:right w:val="single" w:sz="4" w:space="0" w:color="auto"/>
                      </w:tcBorders>
                      <w:shd w:val="clear" w:color="auto" w:fill="auto"/>
                      <w:noWrap/>
                      <w:vAlign w:val="bottom"/>
                      <w:hideMark/>
                    </w:tcPr>
                    <w:p w14:paraId="0986ABF7"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0E7FCF8A"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5849AC6F"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FF9900"/>
                      <w:noWrap/>
                      <w:vAlign w:val="bottom"/>
                      <w:hideMark/>
                    </w:tcPr>
                    <w:p w14:paraId="1D690D38"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FF9900"/>
                      <w:noWrap/>
                      <w:vAlign w:val="bottom"/>
                      <w:hideMark/>
                    </w:tcPr>
                    <w:p w14:paraId="622CF096"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FF9900"/>
                      <w:noWrap/>
                      <w:vAlign w:val="bottom"/>
                      <w:hideMark/>
                    </w:tcPr>
                    <w:p w14:paraId="7116A320"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0C7CED67"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2FAC35C0"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2" w:type="dxa"/>
                      <w:tcBorders>
                        <w:top w:val="nil"/>
                        <w:left w:val="nil"/>
                        <w:bottom w:val="single" w:sz="4" w:space="0" w:color="auto"/>
                        <w:right w:val="single" w:sz="4" w:space="0" w:color="auto"/>
                      </w:tcBorders>
                      <w:shd w:val="clear" w:color="auto" w:fill="auto"/>
                      <w:noWrap/>
                      <w:vAlign w:val="bottom"/>
                      <w:hideMark/>
                    </w:tcPr>
                    <w:p w14:paraId="7C96DC77"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1" w:type="dxa"/>
                      <w:tcBorders>
                        <w:top w:val="nil"/>
                        <w:left w:val="nil"/>
                        <w:bottom w:val="single" w:sz="4" w:space="0" w:color="auto"/>
                        <w:right w:val="single" w:sz="4" w:space="0" w:color="auto"/>
                      </w:tcBorders>
                      <w:shd w:val="clear" w:color="auto" w:fill="auto"/>
                      <w:noWrap/>
                      <w:vAlign w:val="bottom"/>
                      <w:hideMark/>
                    </w:tcPr>
                    <w:p w14:paraId="4294B9A4"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5EA29E8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1FA83B4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8" w:space="0" w:color="auto"/>
                      </w:tcBorders>
                      <w:shd w:val="clear" w:color="auto" w:fill="auto"/>
                      <w:noWrap/>
                      <w:vAlign w:val="bottom"/>
                      <w:hideMark/>
                    </w:tcPr>
                    <w:p w14:paraId="13F68F93"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r>
                <w:tr w:rsidR="00577798" w:rsidRPr="006943C6" w14:paraId="4EEE0EB3" w14:textId="77777777" w:rsidTr="00EA03DB">
                  <w:trPr>
                    <w:trHeight w:val="480"/>
                  </w:trPr>
                  <w:tc>
                    <w:tcPr>
                      <w:tcW w:w="422" w:type="dxa"/>
                      <w:tcBorders>
                        <w:top w:val="nil"/>
                        <w:left w:val="single" w:sz="8" w:space="0" w:color="auto"/>
                        <w:bottom w:val="single" w:sz="4" w:space="0" w:color="auto"/>
                        <w:right w:val="single" w:sz="8" w:space="0" w:color="auto"/>
                      </w:tcBorders>
                      <w:shd w:val="clear" w:color="auto" w:fill="auto"/>
                      <w:vAlign w:val="center"/>
                    </w:tcPr>
                    <w:p w14:paraId="04A835DF" w14:textId="1C861681" w:rsidR="00577798" w:rsidRPr="008F2FB9" w:rsidRDefault="00577798" w:rsidP="00196267">
                      <w:pPr>
                        <w:spacing w:after="0" w:line="240" w:lineRule="auto"/>
                        <w:jc w:val="center"/>
                        <w:rPr>
                          <w:rFonts w:ascii="Franklin Gothic Book" w:eastAsia="Times New Roman" w:hAnsi="Franklin Gothic Book" w:cs="Calibri"/>
                          <w:color w:val="000000"/>
                          <w:sz w:val="16"/>
                          <w:szCs w:val="16"/>
                          <w:lang w:val="fr-FR" w:eastAsia="fr-FR"/>
                        </w:rPr>
                      </w:pPr>
                      <w:r>
                        <w:rPr>
                          <w:rFonts w:ascii="Franklin Gothic Book" w:eastAsia="Times New Roman" w:hAnsi="Franklin Gothic Book" w:cs="Calibri"/>
                          <w:color w:val="000000"/>
                          <w:sz w:val="16"/>
                          <w:szCs w:val="16"/>
                          <w:lang w:val="fr-FR" w:eastAsia="fr-FR"/>
                        </w:rPr>
                        <w:t>4</w:t>
                      </w:r>
                    </w:p>
                  </w:tc>
                  <w:tc>
                    <w:tcPr>
                      <w:tcW w:w="6739" w:type="dxa"/>
                      <w:tcBorders>
                        <w:top w:val="nil"/>
                        <w:left w:val="nil"/>
                        <w:bottom w:val="single" w:sz="4" w:space="0" w:color="auto"/>
                        <w:right w:val="single" w:sz="8" w:space="0" w:color="auto"/>
                      </w:tcBorders>
                      <w:shd w:val="clear" w:color="auto" w:fill="auto"/>
                      <w:vAlign w:val="center"/>
                      <w:hideMark/>
                    </w:tcPr>
                    <w:p w14:paraId="44274F01"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Elaborer et soumettre le rapport d’évaluation et les autres produits convenus</w:t>
                      </w:r>
                    </w:p>
                  </w:tc>
                  <w:tc>
                    <w:tcPr>
                      <w:tcW w:w="201" w:type="dxa"/>
                      <w:tcBorders>
                        <w:top w:val="nil"/>
                        <w:left w:val="nil"/>
                        <w:bottom w:val="single" w:sz="4" w:space="0" w:color="auto"/>
                        <w:right w:val="single" w:sz="4" w:space="0" w:color="auto"/>
                      </w:tcBorders>
                      <w:shd w:val="clear" w:color="auto" w:fill="auto"/>
                      <w:noWrap/>
                      <w:vAlign w:val="bottom"/>
                      <w:hideMark/>
                    </w:tcPr>
                    <w:p w14:paraId="0D849EC2"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33CB359E"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15D4D0A2"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20548F5A"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670C218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576EE380"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FFC000"/>
                      <w:noWrap/>
                      <w:vAlign w:val="bottom"/>
                      <w:hideMark/>
                    </w:tcPr>
                    <w:p w14:paraId="541A8CD3"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FFC000"/>
                      <w:noWrap/>
                      <w:vAlign w:val="bottom"/>
                      <w:hideMark/>
                    </w:tcPr>
                    <w:p w14:paraId="19996700"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2" w:type="dxa"/>
                      <w:tcBorders>
                        <w:top w:val="nil"/>
                        <w:left w:val="nil"/>
                        <w:bottom w:val="single" w:sz="4" w:space="0" w:color="auto"/>
                        <w:right w:val="single" w:sz="4" w:space="0" w:color="auto"/>
                      </w:tcBorders>
                      <w:shd w:val="clear" w:color="auto" w:fill="auto"/>
                      <w:noWrap/>
                      <w:vAlign w:val="bottom"/>
                      <w:hideMark/>
                    </w:tcPr>
                    <w:p w14:paraId="2D113781"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1" w:type="dxa"/>
                      <w:tcBorders>
                        <w:top w:val="nil"/>
                        <w:left w:val="nil"/>
                        <w:bottom w:val="single" w:sz="4" w:space="0" w:color="auto"/>
                        <w:right w:val="single" w:sz="4" w:space="0" w:color="auto"/>
                      </w:tcBorders>
                      <w:shd w:val="clear" w:color="auto" w:fill="auto"/>
                      <w:noWrap/>
                      <w:vAlign w:val="bottom"/>
                      <w:hideMark/>
                    </w:tcPr>
                    <w:p w14:paraId="088B14CD"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5AA9B42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3B70C7B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8" w:space="0" w:color="auto"/>
                      </w:tcBorders>
                      <w:shd w:val="clear" w:color="auto" w:fill="auto"/>
                      <w:noWrap/>
                      <w:vAlign w:val="bottom"/>
                      <w:hideMark/>
                    </w:tcPr>
                    <w:p w14:paraId="70AA438B"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r>
                <w:tr w:rsidR="00577798" w:rsidRPr="006943C6" w14:paraId="5F67A19E" w14:textId="77777777" w:rsidTr="00EA03DB">
                  <w:trPr>
                    <w:trHeight w:val="480"/>
                  </w:trPr>
                  <w:tc>
                    <w:tcPr>
                      <w:tcW w:w="422" w:type="dxa"/>
                      <w:tcBorders>
                        <w:top w:val="nil"/>
                        <w:left w:val="single" w:sz="8" w:space="0" w:color="auto"/>
                        <w:bottom w:val="single" w:sz="4" w:space="0" w:color="auto"/>
                        <w:right w:val="single" w:sz="8" w:space="0" w:color="auto"/>
                      </w:tcBorders>
                      <w:shd w:val="clear" w:color="auto" w:fill="auto"/>
                      <w:vAlign w:val="center"/>
                    </w:tcPr>
                    <w:p w14:paraId="1DB6D5C0" w14:textId="5F1A1F37" w:rsidR="00577798" w:rsidRPr="008F2FB9" w:rsidRDefault="00577798" w:rsidP="00196267">
                      <w:pPr>
                        <w:spacing w:after="0" w:line="240" w:lineRule="auto"/>
                        <w:jc w:val="center"/>
                        <w:rPr>
                          <w:rFonts w:ascii="Franklin Gothic Book" w:eastAsia="Times New Roman" w:hAnsi="Franklin Gothic Book" w:cs="Calibri"/>
                          <w:color w:val="000000"/>
                          <w:sz w:val="16"/>
                          <w:szCs w:val="16"/>
                          <w:lang w:val="fr-FR" w:eastAsia="fr-FR"/>
                        </w:rPr>
                      </w:pPr>
                      <w:r>
                        <w:rPr>
                          <w:rFonts w:ascii="Franklin Gothic Book" w:eastAsia="Times New Roman" w:hAnsi="Franklin Gothic Book" w:cs="Calibri"/>
                          <w:color w:val="000000"/>
                          <w:sz w:val="16"/>
                          <w:szCs w:val="16"/>
                          <w:lang w:val="fr-FR" w:eastAsia="fr-FR"/>
                        </w:rPr>
                        <w:t>5</w:t>
                      </w:r>
                    </w:p>
                  </w:tc>
                  <w:tc>
                    <w:tcPr>
                      <w:tcW w:w="6739" w:type="dxa"/>
                      <w:tcBorders>
                        <w:top w:val="nil"/>
                        <w:left w:val="nil"/>
                        <w:bottom w:val="single" w:sz="4" w:space="0" w:color="auto"/>
                        <w:right w:val="single" w:sz="8" w:space="0" w:color="auto"/>
                      </w:tcBorders>
                      <w:shd w:val="clear" w:color="auto" w:fill="auto"/>
                      <w:vAlign w:val="center"/>
                      <w:hideMark/>
                    </w:tcPr>
                    <w:p w14:paraId="0A32EFBC"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Présentation des résultats provisoires au comité de pilotage et les équipes Programme</w:t>
                      </w:r>
                    </w:p>
                  </w:tc>
                  <w:tc>
                    <w:tcPr>
                      <w:tcW w:w="201" w:type="dxa"/>
                      <w:tcBorders>
                        <w:top w:val="nil"/>
                        <w:left w:val="nil"/>
                        <w:bottom w:val="single" w:sz="4" w:space="0" w:color="auto"/>
                        <w:right w:val="single" w:sz="4" w:space="0" w:color="auto"/>
                      </w:tcBorders>
                      <w:shd w:val="clear" w:color="auto" w:fill="auto"/>
                      <w:noWrap/>
                      <w:vAlign w:val="bottom"/>
                      <w:hideMark/>
                    </w:tcPr>
                    <w:p w14:paraId="46BC437D"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3F75EC79"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29FDC489"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076988CD"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76B1C97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1D8A750F"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63B9751F"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FFC000"/>
                      <w:noWrap/>
                      <w:vAlign w:val="bottom"/>
                      <w:hideMark/>
                    </w:tcPr>
                    <w:p w14:paraId="5CCF1AB3"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2" w:type="dxa"/>
                      <w:tcBorders>
                        <w:top w:val="nil"/>
                        <w:left w:val="nil"/>
                        <w:bottom w:val="single" w:sz="4" w:space="0" w:color="auto"/>
                        <w:right w:val="single" w:sz="4" w:space="0" w:color="auto"/>
                      </w:tcBorders>
                      <w:shd w:val="clear" w:color="auto" w:fill="auto"/>
                      <w:noWrap/>
                      <w:vAlign w:val="bottom"/>
                      <w:hideMark/>
                    </w:tcPr>
                    <w:p w14:paraId="10402936"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1" w:type="dxa"/>
                      <w:tcBorders>
                        <w:top w:val="nil"/>
                        <w:left w:val="nil"/>
                        <w:bottom w:val="single" w:sz="4" w:space="0" w:color="auto"/>
                        <w:right w:val="single" w:sz="4" w:space="0" w:color="auto"/>
                      </w:tcBorders>
                      <w:shd w:val="clear" w:color="auto" w:fill="auto"/>
                      <w:noWrap/>
                      <w:vAlign w:val="bottom"/>
                      <w:hideMark/>
                    </w:tcPr>
                    <w:p w14:paraId="0879AA7A"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3E8DC417"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5FA881EB"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8" w:space="0" w:color="auto"/>
                      </w:tcBorders>
                      <w:shd w:val="clear" w:color="auto" w:fill="auto"/>
                      <w:noWrap/>
                      <w:vAlign w:val="bottom"/>
                      <w:hideMark/>
                    </w:tcPr>
                    <w:p w14:paraId="5E8CECDC"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r>
                <w:tr w:rsidR="00577798" w:rsidRPr="006943C6" w14:paraId="2187B39F" w14:textId="77777777" w:rsidTr="00EA03DB">
                  <w:trPr>
                    <w:trHeight w:val="480"/>
                  </w:trPr>
                  <w:tc>
                    <w:tcPr>
                      <w:tcW w:w="422" w:type="dxa"/>
                      <w:tcBorders>
                        <w:top w:val="nil"/>
                        <w:left w:val="single" w:sz="8" w:space="0" w:color="auto"/>
                        <w:bottom w:val="single" w:sz="4" w:space="0" w:color="auto"/>
                        <w:right w:val="single" w:sz="8" w:space="0" w:color="auto"/>
                      </w:tcBorders>
                      <w:shd w:val="clear" w:color="auto" w:fill="auto"/>
                      <w:vAlign w:val="center"/>
                    </w:tcPr>
                    <w:p w14:paraId="25B0013E" w14:textId="082C5E58" w:rsidR="00577798" w:rsidRPr="008F2FB9" w:rsidRDefault="00577798" w:rsidP="00196267">
                      <w:pPr>
                        <w:spacing w:after="0" w:line="240" w:lineRule="auto"/>
                        <w:jc w:val="center"/>
                        <w:rPr>
                          <w:rFonts w:ascii="Franklin Gothic Book" w:eastAsia="Times New Roman" w:hAnsi="Franklin Gothic Book" w:cs="Calibri"/>
                          <w:color w:val="000000"/>
                          <w:sz w:val="16"/>
                          <w:szCs w:val="16"/>
                          <w:lang w:val="fr-FR" w:eastAsia="fr-FR"/>
                        </w:rPr>
                      </w:pPr>
                      <w:r>
                        <w:rPr>
                          <w:rFonts w:ascii="Franklin Gothic Book" w:eastAsia="Times New Roman" w:hAnsi="Franklin Gothic Book" w:cs="Calibri"/>
                          <w:color w:val="000000"/>
                          <w:sz w:val="16"/>
                          <w:szCs w:val="16"/>
                          <w:lang w:val="fr-FR" w:eastAsia="fr-FR"/>
                        </w:rPr>
                        <w:t>6</w:t>
                      </w:r>
                    </w:p>
                  </w:tc>
                  <w:tc>
                    <w:tcPr>
                      <w:tcW w:w="6739" w:type="dxa"/>
                      <w:tcBorders>
                        <w:top w:val="nil"/>
                        <w:left w:val="nil"/>
                        <w:bottom w:val="single" w:sz="4" w:space="0" w:color="auto"/>
                        <w:right w:val="single" w:sz="8" w:space="0" w:color="auto"/>
                      </w:tcBorders>
                      <w:shd w:val="clear" w:color="auto" w:fill="auto"/>
                      <w:vAlign w:val="center"/>
                      <w:hideMark/>
                    </w:tcPr>
                    <w:p w14:paraId="6C2C6F01"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Réviser le rapport d’évaluation et les autres produits</w:t>
                      </w:r>
                    </w:p>
                  </w:tc>
                  <w:tc>
                    <w:tcPr>
                      <w:tcW w:w="201" w:type="dxa"/>
                      <w:tcBorders>
                        <w:top w:val="nil"/>
                        <w:left w:val="nil"/>
                        <w:bottom w:val="single" w:sz="4" w:space="0" w:color="auto"/>
                        <w:right w:val="single" w:sz="4" w:space="0" w:color="auto"/>
                      </w:tcBorders>
                      <w:shd w:val="clear" w:color="auto" w:fill="auto"/>
                      <w:noWrap/>
                      <w:vAlign w:val="bottom"/>
                      <w:hideMark/>
                    </w:tcPr>
                    <w:p w14:paraId="16E0B461"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4574A0B7"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26465E27"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7496D78E"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59D8572C"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5B952519"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4" w:space="0" w:color="auto"/>
                      </w:tcBorders>
                      <w:shd w:val="clear" w:color="auto" w:fill="auto"/>
                      <w:noWrap/>
                      <w:vAlign w:val="bottom"/>
                      <w:hideMark/>
                    </w:tcPr>
                    <w:p w14:paraId="03BD226D"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0" w:type="dxa"/>
                      <w:tcBorders>
                        <w:top w:val="nil"/>
                        <w:left w:val="nil"/>
                        <w:bottom w:val="single" w:sz="4" w:space="0" w:color="auto"/>
                        <w:right w:val="single" w:sz="8" w:space="0" w:color="auto"/>
                      </w:tcBorders>
                      <w:shd w:val="clear" w:color="auto" w:fill="auto"/>
                      <w:noWrap/>
                      <w:vAlign w:val="bottom"/>
                      <w:hideMark/>
                    </w:tcPr>
                    <w:p w14:paraId="09DE6A1F"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2" w:type="dxa"/>
                      <w:tcBorders>
                        <w:top w:val="nil"/>
                        <w:left w:val="nil"/>
                        <w:bottom w:val="single" w:sz="4" w:space="0" w:color="auto"/>
                        <w:right w:val="single" w:sz="4" w:space="0" w:color="auto"/>
                      </w:tcBorders>
                      <w:shd w:val="clear" w:color="auto" w:fill="FFC000"/>
                      <w:noWrap/>
                      <w:vAlign w:val="bottom"/>
                      <w:hideMark/>
                    </w:tcPr>
                    <w:p w14:paraId="3499D56B"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201" w:type="dxa"/>
                      <w:tcBorders>
                        <w:top w:val="nil"/>
                        <w:left w:val="nil"/>
                        <w:bottom w:val="single" w:sz="4" w:space="0" w:color="auto"/>
                        <w:right w:val="single" w:sz="4" w:space="0" w:color="auto"/>
                      </w:tcBorders>
                      <w:shd w:val="clear" w:color="auto" w:fill="FFC000"/>
                      <w:noWrap/>
                      <w:vAlign w:val="bottom"/>
                      <w:hideMark/>
                    </w:tcPr>
                    <w:p w14:paraId="0C9D3F8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079A7609"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4" w:space="0" w:color="auto"/>
                      </w:tcBorders>
                      <w:shd w:val="clear" w:color="auto" w:fill="auto"/>
                      <w:noWrap/>
                      <w:vAlign w:val="bottom"/>
                      <w:hideMark/>
                    </w:tcPr>
                    <w:p w14:paraId="4BAEEAE5"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c>
                    <w:tcPr>
                      <w:tcW w:w="199" w:type="dxa"/>
                      <w:tcBorders>
                        <w:top w:val="nil"/>
                        <w:left w:val="nil"/>
                        <w:bottom w:val="single" w:sz="4" w:space="0" w:color="auto"/>
                        <w:right w:val="single" w:sz="8" w:space="0" w:color="auto"/>
                      </w:tcBorders>
                      <w:shd w:val="clear" w:color="auto" w:fill="auto"/>
                      <w:noWrap/>
                      <w:vAlign w:val="bottom"/>
                      <w:hideMark/>
                    </w:tcPr>
                    <w:p w14:paraId="107632CE" w14:textId="77777777" w:rsidR="00577798" w:rsidRPr="008F2FB9" w:rsidRDefault="00577798" w:rsidP="00196267">
                      <w:pPr>
                        <w:spacing w:after="0" w:line="240" w:lineRule="auto"/>
                        <w:rPr>
                          <w:rFonts w:ascii="Franklin Gothic Book" w:eastAsia="Times New Roman" w:hAnsi="Franklin Gothic Book" w:cs="Calibri"/>
                          <w:color w:val="000000"/>
                          <w:sz w:val="16"/>
                          <w:szCs w:val="16"/>
                          <w:lang w:val="fr-FR" w:eastAsia="fr-FR"/>
                        </w:rPr>
                      </w:pPr>
                      <w:r w:rsidRPr="008F2FB9">
                        <w:rPr>
                          <w:rFonts w:ascii="Franklin Gothic Book" w:eastAsia="Times New Roman" w:hAnsi="Franklin Gothic Book" w:cs="Calibri"/>
                          <w:color w:val="000000"/>
                          <w:sz w:val="16"/>
                          <w:szCs w:val="16"/>
                          <w:lang w:val="fr-FR" w:eastAsia="fr-FR"/>
                        </w:rPr>
                        <w:t> </w:t>
                      </w:r>
                    </w:p>
                  </w:tc>
                </w:tr>
              </w:tbl>
              <w:p w14:paraId="5C33A70A" w14:textId="78EA939F" w:rsidR="00473482" w:rsidRPr="008F2FB9" w:rsidRDefault="00473482" w:rsidP="00196267">
                <w:pPr>
                  <w:autoSpaceDE w:val="0"/>
                  <w:autoSpaceDN w:val="0"/>
                  <w:adjustRightInd w:val="0"/>
                  <w:spacing w:before="100" w:beforeAutospacing="1" w:after="100" w:afterAutospacing="1"/>
                  <w:ind w:left="360" w:hanging="360"/>
                  <w:jc w:val="both"/>
                  <w:rPr>
                    <w:rFonts w:cs="Arial"/>
                    <w:color w:val="auto"/>
                    <w:lang w:val="fr-FR"/>
                  </w:rPr>
                </w:pPr>
              </w:p>
            </w:tc>
          </w:tr>
        </w:tbl>
        <w:p w14:paraId="5C33A70C" w14:textId="77777777" w:rsidR="00473482" w:rsidRPr="008F2FB9" w:rsidRDefault="00473482" w:rsidP="00D76A0C">
          <w:pPr>
            <w:pStyle w:val="ListParagraph"/>
            <w:numPr>
              <w:ilvl w:val="0"/>
              <w:numId w:val="0"/>
            </w:numPr>
            <w:ind w:left="360"/>
            <w:jc w:val="both"/>
            <w:rPr>
              <w:rFonts w:cs="Calibri"/>
              <w:b/>
              <w:sz w:val="24"/>
              <w:szCs w:val="24"/>
              <w:lang w:val="fr-FR"/>
            </w:rPr>
          </w:pPr>
        </w:p>
        <w:p w14:paraId="5C33A70D" w14:textId="6CB9124A" w:rsidR="00473482" w:rsidRPr="00F00E0A" w:rsidRDefault="00B47A62" w:rsidP="00D76A0C">
          <w:pPr>
            <w:pStyle w:val="Heading1"/>
            <w:rPr>
              <w:lang w:val="fr-FR"/>
            </w:rPr>
          </w:pPr>
          <w:r w:rsidRPr="00F00E0A">
            <w:rPr>
              <w:lang w:val="fr-FR"/>
            </w:rPr>
            <w:t>Equipe d’évaluation</w:t>
          </w:r>
        </w:p>
        <w:tbl>
          <w:tblPr>
            <w:tblStyle w:val="TableGrid"/>
            <w:tblW w:w="9918" w:type="dxa"/>
            <w:tblLook w:val="04A0" w:firstRow="1" w:lastRow="0" w:firstColumn="1" w:lastColumn="0" w:noHBand="0" w:noVBand="1"/>
          </w:tblPr>
          <w:tblGrid>
            <w:gridCol w:w="9918"/>
          </w:tblGrid>
          <w:tr w:rsidR="00473482" w:rsidRPr="006943C6" w14:paraId="5C33A723" w14:textId="77777777" w:rsidTr="0A38F48B">
            <w:tc>
              <w:tcPr>
                <w:tcW w:w="9918" w:type="dxa"/>
              </w:tcPr>
              <w:p w14:paraId="7C092275" w14:textId="4D0FF6FF" w:rsidR="00196267" w:rsidRDefault="00196267" w:rsidP="007E0F48">
                <w:pPr>
                  <w:jc w:val="both"/>
                  <w:rPr>
                    <w:rFonts w:cs="Calibri"/>
                    <w:color w:val="auto"/>
                    <w:sz w:val="24"/>
                    <w:szCs w:val="24"/>
                    <w:lang w:val="fr-FR"/>
                  </w:rPr>
                </w:pPr>
                <w:r>
                  <w:rPr>
                    <w:rFonts w:cs="Calibri"/>
                    <w:color w:val="auto"/>
                    <w:sz w:val="24"/>
                    <w:szCs w:val="24"/>
                    <w:lang w:val="fr-FR"/>
                  </w:rPr>
                  <w:t xml:space="preserve">Le </w:t>
                </w:r>
                <w:r w:rsidRPr="00196267">
                  <w:rPr>
                    <w:rFonts w:cs="Calibri"/>
                    <w:color w:val="auto"/>
                    <w:sz w:val="24"/>
                    <w:szCs w:val="24"/>
                    <w:lang w:val="fr-FR"/>
                  </w:rPr>
                  <w:t xml:space="preserve">NRC </w:t>
                </w:r>
                <w:r>
                  <w:rPr>
                    <w:rFonts w:cs="Calibri"/>
                    <w:color w:val="auto"/>
                    <w:sz w:val="24"/>
                    <w:szCs w:val="24"/>
                    <w:lang w:val="fr-FR"/>
                  </w:rPr>
                  <w:t xml:space="preserve">demande la </w:t>
                </w:r>
                <w:r w:rsidRPr="00196267">
                  <w:rPr>
                    <w:rFonts w:cs="Calibri"/>
                    <w:color w:val="auto"/>
                    <w:sz w:val="24"/>
                    <w:szCs w:val="24"/>
                    <w:lang w:val="fr-FR"/>
                  </w:rPr>
                  <w:t>manifestation d'intérêt de la part de personnes</w:t>
                </w:r>
                <w:r w:rsidR="00810909">
                  <w:rPr>
                    <w:rFonts w:cs="Calibri"/>
                    <w:color w:val="auto"/>
                    <w:sz w:val="24"/>
                    <w:szCs w:val="24"/>
                    <w:lang w:val="fr-FR"/>
                  </w:rPr>
                  <w:t>/cabinets</w:t>
                </w:r>
                <w:r w:rsidRPr="00196267">
                  <w:rPr>
                    <w:rFonts w:cs="Calibri"/>
                    <w:color w:val="auto"/>
                    <w:sz w:val="24"/>
                    <w:szCs w:val="24"/>
                    <w:lang w:val="fr-FR"/>
                  </w:rPr>
                  <w:t xml:space="preserve"> possédant les compétences/qualifications suivantes</w:t>
                </w:r>
                <w:r>
                  <w:rPr>
                    <w:rFonts w:cs="Calibri"/>
                    <w:color w:val="auto"/>
                    <w:sz w:val="24"/>
                    <w:szCs w:val="24"/>
                    <w:lang w:val="fr-FR"/>
                  </w:rPr>
                  <w:t> :</w:t>
                </w:r>
              </w:p>
              <w:p w14:paraId="571597DA" w14:textId="77777777" w:rsidR="00196267" w:rsidRDefault="00196267" w:rsidP="007E0F48">
                <w:pPr>
                  <w:jc w:val="both"/>
                  <w:rPr>
                    <w:rFonts w:cs="Calibri"/>
                    <w:color w:val="auto"/>
                    <w:sz w:val="24"/>
                    <w:szCs w:val="24"/>
                    <w:lang w:val="fr-FR"/>
                  </w:rPr>
                </w:pPr>
              </w:p>
              <w:p w14:paraId="76C3D594" w14:textId="20124316" w:rsidR="00196267" w:rsidRPr="00F3123F" w:rsidRDefault="2F08C906" w:rsidP="00F3123F">
                <w:pPr>
                  <w:pStyle w:val="ListParagraph"/>
                  <w:numPr>
                    <w:ilvl w:val="0"/>
                    <w:numId w:val="42"/>
                  </w:numPr>
                  <w:spacing w:after="0"/>
                  <w:ind w:left="459"/>
                  <w:jc w:val="both"/>
                  <w:rPr>
                    <w:rFonts w:cs="Calibri"/>
                    <w:color w:val="auto"/>
                    <w:sz w:val="24"/>
                    <w:szCs w:val="24"/>
                    <w:lang w:val="fr-FR"/>
                  </w:rPr>
                </w:pPr>
                <w:r w:rsidRPr="0A38F48B">
                  <w:rPr>
                    <w:rFonts w:cs="Calibri"/>
                    <w:color w:val="auto"/>
                    <w:sz w:val="24"/>
                    <w:szCs w:val="24"/>
                    <w:lang w:val="fr-FR"/>
                  </w:rPr>
                  <w:t>Equipe d’évaluateurs/trices consultant/e/s</w:t>
                </w:r>
                <w:r w:rsidR="00CE04D2">
                  <w:rPr>
                    <w:rFonts w:cs="Calibri"/>
                    <w:color w:val="auto"/>
                    <w:sz w:val="24"/>
                    <w:szCs w:val="24"/>
                    <w:lang w:val="fr-FR"/>
                  </w:rPr>
                  <w:t xml:space="preserve">, équilibrée sur le plan des genres, </w:t>
                </w:r>
                <w:r w:rsidRPr="0A38F48B">
                  <w:rPr>
                    <w:rFonts w:cs="Calibri"/>
                    <w:color w:val="auto"/>
                    <w:sz w:val="24"/>
                    <w:szCs w:val="24"/>
                    <w:lang w:val="fr-FR"/>
                  </w:rPr>
                  <w:t>dont un/e consultant/e principal/e international/e et un/e consultant/e assistant</w:t>
                </w:r>
                <w:r w:rsidR="00CE04D2">
                  <w:rPr>
                    <w:rFonts w:cs="Calibri"/>
                    <w:color w:val="auto"/>
                    <w:sz w:val="24"/>
                    <w:szCs w:val="24"/>
                    <w:lang w:val="fr-FR"/>
                  </w:rPr>
                  <w:t>/</w:t>
                </w:r>
                <w:r w:rsidRPr="0A38F48B">
                  <w:rPr>
                    <w:rFonts w:cs="Calibri"/>
                    <w:color w:val="auto"/>
                    <w:sz w:val="24"/>
                    <w:szCs w:val="24"/>
                    <w:lang w:val="fr-FR"/>
                  </w:rPr>
                  <w:t>e national/e</w:t>
                </w:r>
              </w:p>
              <w:p w14:paraId="5BD26737" w14:textId="77777777" w:rsidR="00F3123F" w:rsidRPr="00F3123F" w:rsidRDefault="00F3123F" w:rsidP="00D753AF">
                <w:pPr>
                  <w:pStyle w:val="ListParagraph"/>
                  <w:numPr>
                    <w:ilvl w:val="0"/>
                    <w:numId w:val="42"/>
                  </w:numPr>
                  <w:spacing w:after="0"/>
                  <w:ind w:left="459"/>
                  <w:jc w:val="both"/>
                  <w:rPr>
                    <w:rFonts w:cs="Calibri"/>
                    <w:color w:val="auto"/>
                    <w:sz w:val="24"/>
                    <w:szCs w:val="24"/>
                    <w:lang w:val="fr-FR"/>
                  </w:rPr>
                </w:pPr>
                <w:r w:rsidRPr="00F3123F">
                  <w:rPr>
                    <w:rFonts w:cs="Calibri"/>
                    <w:color w:val="auto"/>
                    <w:sz w:val="24"/>
                    <w:szCs w:val="24"/>
                    <w:lang w:val="fr-FR"/>
                  </w:rPr>
                  <w:t>Expérience pratique avérée en évaluation de projets/programmes, en particulier en évaluation participative</w:t>
                </w:r>
              </w:p>
              <w:p w14:paraId="31CE8E82" w14:textId="76E3B2F1" w:rsidR="00F3123F" w:rsidRPr="00F3123F" w:rsidRDefault="00CE04D2" w:rsidP="00D753AF">
                <w:pPr>
                  <w:pStyle w:val="ListParagraph"/>
                  <w:numPr>
                    <w:ilvl w:val="0"/>
                    <w:numId w:val="42"/>
                  </w:numPr>
                  <w:spacing w:after="0"/>
                  <w:ind w:left="459"/>
                  <w:jc w:val="both"/>
                  <w:rPr>
                    <w:rFonts w:cs="Calibri"/>
                    <w:color w:val="auto"/>
                    <w:sz w:val="24"/>
                    <w:szCs w:val="24"/>
                    <w:lang w:val="fr-FR"/>
                  </w:rPr>
                </w:pPr>
                <w:r w:rsidRPr="00CE04D2">
                  <w:rPr>
                    <w:rFonts w:cs="Calibri"/>
                    <w:color w:val="auto"/>
                    <w:sz w:val="24"/>
                    <w:szCs w:val="24"/>
                    <w:lang w:val="fr-FR"/>
                  </w:rPr>
                  <w:t>Expérience et technicité avérée dans au moins un secteur clé de cette évaluation (ICLA, Education, Abris/WASH)</w:t>
                </w:r>
              </w:p>
              <w:p w14:paraId="5C3DEFC9" w14:textId="1854ADAE" w:rsidR="00F3123F" w:rsidRPr="00F3123F" w:rsidRDefault="00F3123F" w:rsidP="00F3123F">
                <w:pPr>
                  <w:pStyle w:val="ListParagraph"/>
                  <w:numPr>
                    <w:ilvl w:val="0"/>
                    <w:numId w:val="42"/>
                  </w:numPr>
                  <w:spacing w:after="0"/>
                  <w:ind w:left="459"/>
                  <w:jc w:val="both"/>
                  <w:rPr>
                    <w:rFonts w:cs="Calibri"/>
                    <w:color w:val="auto"/>
                    <w:sz w:val="24"/>
                    <w:szCs w:val="24"/>
                    <w:lang w:val="fr-FR"/>
                  </w:rPr>
                </w:pPr>
                <w:r w:rsidRPr="00F3123F">
                  <w:rPr>
                    <w:rFonts w:cs="Calibri"/>
                    <w:color w:val="auto"/>
                    <w:sz w:val="24"/>
                    <w:szCs w:val="24"/>
                    <w:lang w:val="fr-FR"/>
                  </w:rPr>
                  <w:t xml:space="preserve">Minimum </w:t>
                </w:r>
                <w:r w:rsidR="00CE04D2">
                  <w:rPr>
                    <w:rFonts w:cs="Calibri"/>
                    <w:color w:val="auto"/>
                    <w:sz w:val="24"/>
                    <w:szCs w:val="24"/>
                    <w:lang w:val="fr-FR"/>
                  </w:rPr>
                  <w:t xml:space="preserve">5 </w:t>
                </w:r>
                <w:r w:rsidRPr="00F3123F">
                  <w:rPr>
                    <w:rFonts w:cs="Calibri"/>
                    <w:color w:val="auto"/>
                    <w:sz w:val="24"/>
                    <w:szCs w:val="24"/>
                    <w:lang w:val="fr-FR"/>
                  </w:rPr>
                  <w:t>ans d'expérience en recherche et expérience dans les méthodes quantitatives et qualitatives</w:t>
                </w:r>
              </w:p>
              <w:p w14:paraId="4F24D4B3" w14:textId="77777777" w:rsidR="00F3123F" w:rsidRPr="00F3123F" w:rsidRDefault="00F3123F" w:rsidP="00F3123F">
                <w:pPr>
                  <w:pStyle w:val="ListParagraph"/>
                  <w:numPr>
                    <w:ilvl w:val="0"/>
                    <w:numId w:val="42"/>
                  </w:numPr>
                  <w:spacing w:after="0"/>
                  <w:ind w:left="459"/>
                  <w:jc w:val="both"/>
                  <w:rPr>
                    <w:rFonts w:cs="Calibri"/>
                    <w:color w:val="auto"/>
                    <w:sz w:val="24"/>
                    <w:szCs w:val="24"/>
                    <w:lang w:val="fr-FR"/>
                  </w:rPr>
                </w:pPr>
                <w:r w:rsidRPr="00F3123F">
                  <w:rPr>
                    <w:rFonts w:cs="Calibri"/>
                    <w:color w:val="auto"/>
                    <w:sz w:val="24"/>
                    <w:szCs w:val="24"/>
                    <w:lang w:val="fr-FR"/>
                  </w:rPr>
                  <w:t>Capacité d'analyse, de synthèse et de rédaction de rapports clairs</w:t>
                </w:r>
              </w:p>
              <w:p w14:paraId="5300B955" w14:textId="77777777" w:rsidR="00F3123F" w:rsidRPr="00F3123F" w:rsidRDefault="00F3123F" w:rsidP="00F3123F">
                <w:pPr>
                  <w:pStyle w:val="ListParagraph"/>
                  <w:numPr>
                    <w:ilvl w:val="0"/>
                    <w:numId w:val="42"/>
                  </w:numPr>
                  <w:spacing w:after="0"/>
                  <w:ind w:left="459"/>
                  <w:jc w:val="both"/>
                  <w:rPr>
                    <w:rFonts w:cs="Calibri"/>
                    <w:color w:val="auto"/>
                    <w:sz w:val="24"/>
                    <w:szCs w:val="24"/>
                    <w:lang w:val="fr-FR"/>
                  </w:rPr>
                </w:pPr>
                <w:r w:rsidRPr="00F3123F">
                  <w:rPr>
                    <w:rFonts w:cs="Calibri"/>
                    <w:color w:val="auto"/>
                    <w:sz w:val="24"/>
                    <w:szCs w:val="24"/>
                    <w:lang w:val="fr-FR"/>
                  </w:rPr>
                  <w:t>Bonne connaissance de la gestion des ONG et familiarité avec l’apprentissage organisationnel</w:t>
                </w:r>
              </w:p>
              <w:p w14:paraId="5DD2D7B4" w14:textId="77777777" w:rsidR="00F3123F" w:rsidRPr="00F3123F" w:rsidRDefault="00F3123F" w:rsidP="00F3123F">
                <w:pPr>
                  <w:pStyle w:val="ListParagraph"/>
                  <w:numPr>
                    <w:ilvl w:val="0"/>
                    <w:numId w:val="42"/>
                  </w:numPr>
                  <w:spacing w:after="0"/>
                  <w:ind w:left="459"/>
                  <w:jc w:val="both"/>
                  <w:rPr>
                    <w:rFonts w:cs="Calibri"/>
                    <w:color w:val="auto"/>
                    <w:sz w:val="24"/>
                    <w:szCs w:val="24"/>
                    <w:lang w:val="fr-FR"/>
                  </w:rPr>
                </w:pPr>
                <w:r w:rsidRPr="00F3123F">
                  <w:rPr>
                    <w:rFonts w:cs="Calibri"/>
                    <w:color w:val="auto"/>
                    <w:sz w:val="24"/>
                    <w:szCs w:val="24"/>
                    <w:lang w:val="fr-FR"/>
                  </w:rPr>
                  <w:t>Connaissance adéquate de la situation humanitaire, politique et socio-économique au Mali</w:t>
                </w:r>
              </w:p>
              <w:p w14:paraId="30D25AF7" w14:textId="6E28CE54" w:rsidR="00196267" w:rsidRPr="00F3123F" w:rsidRDefault="00F3123F" w:rsidP="00F3123F">
                <w:pPr>
                  <w:pStyle w:val="ListParagraph"/>
                  <w:numPr>
                    <w:ilvl w:val="0"/>
                    <w:numId w:val="42"/>
                  </w:numPr>
                  <w:spacing w:after="0"/>
                  <w:ind w:left="459"/>
                  <w:jc w:val="both"/>
                  <w:rPr>
                    <w:rFonts w:cs="Calibri"/>
                    <w:color w:val="auto"/>
                    <w:sz w:val="24"/>
                    <w:szCs w:val="24"/>
                    <w:lang w:val="fr-FR"/>
                  </w:rPr>
                </w:pPr>
                <w:r w:rsidRPr="00F3123F">
                  <w:rPr>
                    <w:rFonts w:cs="Calibri"/>
                    <w:color w:val="auto"/>
                    <w:sz w:val="24"/>
                    <w:szCs w:val="24"/>
                    <w:lang w:val="fr-FR"/>
                  </w:rPr>
                  <w:t xml:space="preserve">Capacité à obtenir l'accès </w:t>
                </w:r>
                <w:r w:rsidR="00CE04D2">
                  <w:rPr>
                    <w:rFonts w:cs="Calibri"/>
                    <w:color w:val="auto"/>
                    <w:sz w:val="24"/>
                    <w:szCs w:val="24"/>
                    <w:lang w:val="fr-FR"/>
                  </w:rPr>
                  <w:t xml:space="preserve">aux zones intervention (Mopti et Tombouctou) </w:t>
                </w:r>
                <w:r w:rsidRPr="00F3123F">
                  <w:rPr>
                    <w:rFonts w:cs="Calibri"/>
                    <w:color w:val="auto"/>
                    <w:sz w:val="24"/>
                    <w:szCs w:val="24"/>
                    <w:lang w:val="fr-FR"/>
                  </w:rPr>
                  <w:t>ou à s'associer à des évaluateurs/organisations de collecte de données tiers</w:t>
                </w:r>
              </w:p>
              <w:p w14:paraId="0411615A" w14:textId="0859627C" w:rsidR="00F3123F" w:rsidRPr="00F3123F" w:rsidRDefault="00F3123F" w:rsidP="00F3123F">
                <w:pPr>
                  <w:pStyle w:val="ListParagraph"/>
                  <w:numPr>
                    <w:ilvl w:val="0"/>
                    <w:numId w:val="42"/>
                  </w:numPr>
                  <w:spacing w:after="0"/>
                  <w:ind w:left="459"/>
                  <w:jc w:val="both"/>
                  <w:rPr>
                    <w:rFonts w:cs="Calibri"/>
                    <w:color w:val="auto"/>
                    <w:sz w:val="24"/>
                    <w:szCs w:val="24"/>
                    <w:lang w:val="fr-FR"/>
                  </w:rPr>
                </w:pPr>
                <w:r w:rsidRPr="00F3123F">
                  <w:rPr>
                    <w:rFonts w:cs="Calibri"/>
                    <w:color w:val="auto"/>
                    <w:sz w:val="24"/>
                    <w:szCs w:val="24"/>
                    <w:lang w:val="fr-FR"/>
                  </w:rPr>
                  <w:t xml:space="preserve">En cas d’utilisation des enqueteurs/trices, assurer un équilibre (au moins chaque </w:t>
                </w:r>
                <w:r w:rsidR="00D753AF">
                  <w:rPr>
                    <w:rFonts w:cs="Calibri"/>
                    <w:color w:val="auto"/>
                    <w:sz w:val="24"/>
                    <w:szCs w:val="24"/>
                    <w:lang w:val="fr-FR"/>
                  </w:rPr>
                  <w:t xml:space="preserve">genre </w:t>
                </w:r>
                <w:r w:rsidRPr="00F3123F">
                  <w:rPr>
                    <w:rFonts w:cs="Calibri"/>
                    <w:color w:val="auto"/>
                    <w:sz w:val="24"/>
                    <w:szCs w:val="24"/>
                    <w:lang w:val="fr-FR"/>
                  </w:rPr>
                  <w:t>représenté à 40%) et accès de tous/toutes dans les zones d’intervention</w:t>
                </w:r>
              </w:p>
              <w:p w14:paraId="5C33A722" w14:textId="10BFCE79" w:rsidR="00D76A0C" w:rsidRPr="00CE04D2" w:rsidRDefault="00D76A0C" w:rsidP="00F3123F">
                <w:pPr>
                  <w:jc w:val="both"/>
                  <w:rPr>
                    <w:rFonts w:cs="Calibri"/>
                    <w:b/>
                    <w:color w:val="auto"/>
                    <w:sz w:val="24"/>
                    <w:szCs w:val="24"/>
                    <w:lang w:val="fr-FR"/>
                  </w:rPr>
                </w:pPr>
              </w:p>
            </w:tc>
          </w:tr>
        </w:tbl>
        <w:p w14:paraId="5C33A724" w14:textId="77777777" w:rsidR="00473482" w:rsidRPr="00CE04D2" w:rsidRDefault="00473482" w:rsidP="00473482">
          <w:pPr>
            <w:jc w:val="both"/>
            <w:rPr>
              <w:rFonts w:ascii="Calibri" w:hAnsi="Calibri" w:cs="Calibri"/>
              <w:b/>
              <w:sz w:val="24"/>
              <w:szCs w:val="24"/>
              <w:lang w:val="fr-FR"/>
            </w:rPr>
          </w:pPr>
        </w:p>
        <w:p w14:paraId="5C33A725" w14:textId="790E8085" w:rsidR="00473482" w:rsidRPr="00B47A62" w:rsidRDefault="00B47A62" w:rsidP="00D76A0C">
          <w:pPr>
            <w:pStyle w:val="Heading1"/>
            <w:rPr>
              <w:lang w:val="fr-FR"/>
            </w:rPr>
          </w:pPr>
          <w:r w:rsidRPr="00B47A62">
            <w:rPr>
              <w:lang w:val="fr-FR"/>
            </w:rPr>
            <w:lastRenderedPageBreak/>
            <w:t>Processus de soumission et exigences</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473482" w:rsidRPr="006943C6" w14:paraId="5C33A72E" w14:textId="77777777" w:rsidTr="0A38F48B">
            <w:tc>
              <w:tcPr>
                <w:tcW w:w="9908" w:type="dxa"/>
                <w:tcBorders>
                  <w:top w:val="single" w:sz="12" w:space="0" w:color="auto"/>
                  <w:left w:val="single" w:sz="12" w:space="0" w:color="auto"/>
                  <w:bottom w:val="single" w:sz="12" w:space="0" w:color="auto"/>
                  <w:right w:val="single" w:sz="12" w:space="0" w:color="auto"/>
                </w:tcBorders>
              </w:tcPr>
              <w:p w14:paraId="5C33A727" w14:textId="398C6EE0" w:rsidR="00473482" w:rsidRPr="00825C94" w:rsidRDefault="4D3F6845" w:rsidP="00825C94">
                <w:pPr>
                  <w:autoSpaceDE w:val="0"/>
                  <w:autoSpaceDN w:val="0"/>
                  <w:adjustRightInd w:val="0"/>
                  <w:spacing w:after="0" w:line="240" w:lineRule="auto"/>
                  <w:jc w:val="both"/>
                  <w:rPr>
                    <w:rFonts w:ascii="Franklin Gothic Book" w:hAnsi="Franklin Gothic Book" w:cs="Calibri"/>
                    <w:color w:val="000000"/>
                    <w:sz w:val="24"/>
                    <w:szCs w:val="24"/>
                    <w:lang w:val="fr-FR"/>
                  </w:rPr>
                </w:pPr>
                <w:r w:rsidRPr="0A38F48B">
                  <w:rPr>
                    <w:rFonts w:ascii="Franklin Gothic Book" w:hAnsi="Franklin Gothic Book" w:cs="Calibri"/>
                    <w:color w:val="000000"/>
                    <w:sz w:val="24"/>
                    <w:szCs w:val="24"/>
                    <w:lang w:val="fr-FR"/>
                  </w:rPr>
                  <w:t xml:space="preserve">Délai de soumission: </w:t>
                </w:r>
                <w:r w:rsidR="001A37BD">
                  <w:rPr>
                    <w:rFonts w:ascii="Franklin Gothic Book" w:hAnsi="Franklin Gothic Book" w:cs="Calibri"/>
                    <w:color w:val="000000"/>
                    <w:sz w:val="24"/>
                    <w:szCs w:val="24"/>
                    <w:lang w:val="fr-FR"/>
                  </w:rPr>
                  <w:t>20 juillet 2022</w:t>
                </w:r>
                <w:r w:rsidR="00473482" w:rsidRPr="0A38F48B">
                  <w:rPr>
                    <w:rFonts w:ascii="Franklin Gothic Book" w:hAnsi="Franklin Gothic Book" w:cs="Calibri"/>
                    <w:color w:val="000000"/>
                    <w:sz w:val="24"/>
                    <w:szCs w:val="24"/>
                    <w:lang w:val="fr-FR"/>
                  </w:rPr>
                  <w:t xml:space="preserve">   </w:t>
                </w:r>
              </w:p>
              <w:p w14:paraId="5C33A728" w14:textId="53E8408D" w:rsidR="00473482" w:rsidRPr="00825C94" w:rsidRDefault="00473482" w:rsidP="00825C94">
                <w:pPr>
                  <w:autoSpaceDE w:val="0"/>
                  <w:autoSpaceDN w:val="0"/>
                  <w:adjustRightInd w:val="0"/>
                  <w:spacing w:after="0" w:line="240" w:lineRule="auto"/>
                  <w:jc w:val="both"/>
                  <w:rPr>
                    <w:rFonts w:ascii="Franklin Gothic Book" w:hAnsi="Franklin Gothic Book" w:cs="Calibri"/>
                    <w:color w:val="000000"/>
                    <w:sz w:val="24"/>
                    <w:szCs w:val="24"/>
                    <w:lang w:val="fr-FR"/>
                  </w:rPr>
                </w:pPr>
              </w:p>
              <w:p w14:paraId="78CC2081" w14:textId="77777777" w:rsidR="00825C94" w:rsidRPr="00CE04D2" w:rsidRDefault="00F3123F" w:rsidP="00CE04D2">
                <w:pPr>
                  <w:autoSpaceDE w:val="0"/>
                  <w:autoSpaceDN w:val="0"/>
                  <w:adjustRightInd w:val="0"/>
                  <w:spacing w:after="0" w:line="240" w:lineRule="auto"/>
                  <w:ind w:left="360" w:hanging="360"/>
                  <w:jc w:val="both"/>
                  <w:rPr>
                    <w:rFonts w:ascii="Franklin Gothic Book" w:hAnsi="Franklin Gothic Book" w:cs="Calibri"/>
                    <w:color w:val="000000"/>
                    <w:sz w:val="24"/>
                    <w:szCs w:val="24"/>
                    <w:lang w:val="fr-FR"/>
                  </w:rPr>
                </w:pPr>
                <w:r w:rsidRPr="00CE04D2">
                  <w:rPr>
                    <w:rFonts w:ascii="Franklin Gothic Book" w:hAnsi="Franklin Gothic Book" w:cs="Calibri"/>
                    <w:color w:val="000000"/>
                    <w:sz w:val="24"/>
                    <w:szCs w:val="24"/>
                    <w:lang w:val="fr-FR"/>
                  </w:rPr>
                  <w:t>L</w:t>
                </w:r>
                <w:r w:rsidR="00825C94" w:rsidRPr="00CE04D2">
                  <w:rPr>
                    <w:rFonts w:ascii="Franklin Gothic Book" w:hAnsi="Franklin Gothic Book" w:cs="Calibri"/>
                    <w:color w:val="000000"/>
                    <w:sz w:val="24"/>
                    <w:szCs w:val="24"/>
                    <w:lang w:val="fr-FR"/>
                  </w:rPr>
                  <w:t>e dossier doit comprendre les éléments ci-dessous :</w:t>
                </w:r>
              </w:p>
              <w:p w14:paraId="229FA4E1" w14:textId="42F4D797" w:rsidR="00825C94" w:rsidRPr="00825C94" w:rsidRDefault="18FB1331" w:rsidP="00825C94">
                <w:pPr>
                  <w:pStyle w:val="ListParagraph"/>
                  <w:numPr>
                    <w:ilvl w:val="0"/>
                    <w:numId w:val="43"/>
                  </w:numPr>
                  <w:autoSpaceDE w:val="0"/>
                  <w:autoSpaceDN w:val="0"/>
                  <w:adjustRightInd w:val="0"/>
                  <w:spacing w:after="0" w:line="240" w:lineRule="auto"/>
                  <w:ind w:left="447"/>
                  <w:jc w:val="both"/>
                  <w:rPr>
                    <w:rFonts w:ascii="Franklin Gothic Book" w:hAnsi="Franklin Gothic Book" w:cs="Calibri"/>
                    <w:color w:val="000000"/>
                    <w:sz w:val="24"/>
                    <w:szCs w:val="24"/>
                    <w:lang w:val="fr-FR"/>
                  </w:rPr>
                </w:pPr>
                <w:r w:rsidRPr="0A38F48B">
                  <w:rPr>
                    <w:rFonts w:ascii="Franklin Gothic Book" w:hAnsi="Franklin Gothic Book" w:cs="Calibri"/>
                    <w:color w:val="000000"/>
                    <w:sz w:val="24"/>
                    <w:szCs w:val="24"/>
                    <w:lang w:val="fr-FR"/>
                  </w:rPr>
                  <w:t>Une proposition technique, comprenant la conception proposée de l’évaluation, la méthodologie d’évaluation, les commentaires sur les termes de référence, le calendrier et le plan de travail proposé (max 5 pages)</w:t>
                </w:r>
              </w:p>
              <w:p w14:paraId="4CDE8660" w14:textId="281915C7" w:rsidR="00825C94" w:rsidRPr="00825C94" w:rsidRDefault="18FB1331" w:rsidP="00825C94">
                <w:pPr>
                  <w:pStyle w:val="ListParagraph"/>
                  <w:numPr>
                    <w:ilvl w:val="0"/>
                    <w:numId w:val="43"/>
                  </w:numPr>
                  <w:autoSpaceDE w:val="0"/>
                  <w:autoSpaceDN w:val="0"/>
                  <w:adjustRightInd w:val="0"/>
                  <w:spacing w:after="0" w:line="240" w:lineRule="auto"/>
                  <w:ind w:left="447"/>
                  <w:jc w:val="both"/>
                  <w:rPr>
                    <w:rFonts w:ascii="Franklin Gothic Book" w:hAnsi="Franklin Gothic Book" w:cs="Calibri"/>
                    <w:color w:val="000000"/>
                    <w:sz w:val="24"/>
                    <w:szCs w:val="24"/>
                    <w:lang w:val="fr-FR"/>
                  </w:rPr>
                </w:pPr>
                <w:r w:rsidRPr="0A38F48B">
                  <w:rPr>
                    <w:rFonts w:ascii="Franklin Gothic Book" w:hAnsi="Franklin Gothic Book" w:cs="Calibri"/>
                    <w:color w:val="000000"/>
                    <w:sz w:val="24"/>
                    <w:szCs w:val="24"/>
                    <w:lang w:val="fr-FR"/>
                  </w:rPr>
                  <w:t>Une proposition financière (max 3 pages)</w:t>
                </w:r>
                <w:r w:rsidR="00CE04D2">
                  <w:rPr>
                    <w:rFonts w:ascii="Franklin Gothic Book" w:hAnsi="Franklin Gothic Book" w:cs="Calibri"/>
                    <w:color w:val="000000"/>
                    <w:sz w:val="24"/>
                    <w:szCs w:val="24"/>
                    <w:lang w:val="fr-FR"/>
                  </w:rPr>
                  <w:t xml:space="preserve"> séparée de l’offre technique</w:t>
                </w:r>
                <w:r w:rsidR="00810909">
                  <w:rPr>
                    <w:rFonts w:ascii="Franklin Gothic Book" w:hAnsi="Franklin Gothic Book" w:cs="Calibri"/>
                    <w:color w:val="000000"/>
                    <w:sz w:val="24"/>
                    <w:szCs w:val="24"/>
                    <w:lang w:val="fr-FR"/>
                  </w:rPr>
                  <w:t>, toutes taxes comprises</w:t>
                </w:r>
              </w:p>
              <w:p w14:paraId="41648E40" w14:textId="1E4F3E2C" w:rsidR="00825C94" w:rsidRPr="00825C94" w:rsidRDefault="00825C94" w:rsidP="00825C94">
                <w:pPr>
                  <w:pStyle w:val="ListParagraph"/>
                  <w:numPr>
                    <w:ilvl w:val="0"/>
                    <w:numId w:val="43"/>
                  </w:numPr>
                  <w:autoSpaceDE w:val="0"/>
                  <w:autoSpaceDN w:val="0"/>
                  <w:adjustRightInd w:val="0"/>
                  <w:spacing w:after="0" w:line="240" w:lineRule="auto"/>
                  <w:ind w:left="447"/>
                  <w:jc w:val="both"/>
                  <w:rPr>
                    <w:rFonts w:ascii="Franklin Gothic Book" w:hAnsi="Franklin Gothic Book" w:cs="Calibri"/>
                    <w:color w:val="000000"/>
                    <w:sz w:val="24"/>
                    <w:szCs w:val="24"/>
                    <w:lang w:val="fr-FR"/>
                  </w:rPr>
                </w:pPr>
                <w:r w:rsidRPr="00825C94">
                  <w:rPr>
                    <w:rFonts w:ascii="Franklin Gothic Book" w:hAnsi="Franklin Gothic Book" w:cs="Calibri"/>
                    <w:color w:val="000000"/>
                    <w:sz w:val="24"/>
                    <w:szCs w:val="24"/>
                    <w:lang w:val="fr-FR"/>
                  </w:rPr>
                  <w:t>CV des consultant/e/s</w:t>
                </w:r>
              </w:p>
              <w:p w14:paraId="19698F5F" w14:textId="1FE1F39C" w:rsidR="00473482" w:rsidRDefault="00907ECA" w:rsidP="00825C94">
                <w:pPr>
                  <w:pStyle w:val="ListParagraph"/>
                  <w:numPr>
                    <w:ilvl w:val="0"/>
                    <w:numId w:val="43"/>
                  </w:numPr>
                  <w:autoSpaceDE w:val="0"/>
                  <w:autoSpaceDN w:val="0"/>
                  <w:adjustRightInd w:val="0"/>
                  <w:spacing w:after="0" w:line="240" w:lineRule="auto"/>
                  <w:ind w:left="447"/>
                  <w:jc w:val="both"/>
                  <w:rPr>
                    <w:rFonts w:ascii="Franklin Gothic Book" w:hAnsi="Franklin Gothic Book" w:cs="Calibri"/>
                    <w:color w:val="000000"/>
                    <w:sz w:val="24"/>
                    <w:szCs w:val="24"/>
                    <w:lang w:val="fr-FR"/>
                  </w:rPr>
                </w:pPr>
                <w:r>
                  <w:rPr>
                    <w:rFonts w:ascii="Franklin Gothic Book" w:hAnsi="Franklin Gothic Book" w:cs="Calibri"/>
                    <w:color w:val="000000"/>
                    <w:sz w:val="24"/>
                    <w:szCs w:val="24"/>
                    <w:lang w:val="fr-FR"/>
                  </w:rPr>
                  <w:t>Trois r</w:t>
                </w:r>
                <w:r w:rsidR="00825C94" w:rsidRPr="00825C94">
                  <w:rPr>
                    <w:rFonts w:ascii="Franklin Gothic Book" w:hAnsi="Franklin Gothic Book" w:cs="Calibri"/>
                    <w:color w:val="000000"/>
                    <w:sz w:val="24"/>
                    <w:szCs w:val="24"/>
                    <w:lang w:val="fr-FR"/>
                  </w:rPr>
                  <w:t xml:space="preserve">éférences </w:t>
                </w:r>
                <w:r>
                  <w:rPr>
                    <w:rFonts w:ascii="Franklin Gothic Book" w:hAnsi="Franklin Gothic Book" w:cs="Calibri"/>
                    <w:color w:val="000000"/>
                    <w:sz w:val="24"/>
                    <w:szCs w:val="24"/>
                    <w:lang w:val="fr-FR"/>
                  </w:rPr>
                  <w:t xml:space="preserve">pour le </w:t>
                </w:r>
                <w:r w:rsidR="00825C94" w:rsidRPr="00825C94">
                  <w:rPr>
                    <w:rFonts w:ascii="Franklin Gothic Book" w:hAnsi="Franklin Gothic Book" w:cs="Calibri"/>
                    <w:color w:val="000000"/>
                    <w:sz w:val="24"/>
                    <w:szCs w:val="24"/>
                    <w:lang w:val="fr-FR"/>
                  </w:rPr>
                  <w:t xml:space="preserve">cabinet </w:t>
                </w:r>
                <w:r w:rsidR="001A37BD">
                  <w:rPr>
                    <w:rFonts w:ascii="Franklin Gothic Book" w:hAnsi="Franklin Gothic Book" w:cs="Calibri"/>
                    <w:color w:val="000000"/>
                    <w:sz w:val="24"/>
                    <w:szCs w:val="24"/>
                    <w:lang w:val="fr-FR"/>
                  </w:rPr>
                  <w:t>et/</w:t>
                </w:r>
                <w:r w:rsidR="00810909">
                  <w:rPr>
                    <w:rFonts w:ascii="Franklin Gothic Book" w:hAnsi="Franklin Gothic Book" w:cs="Calibri"/>
                    <w:color w:val="000000"/>
                    <w:sz w:val="24"/>
                    <w:szCs w:val="24"/>
                    <w:lang w:val="fr-FR"/>
                  </w:rPr>
                  <w:t>ou</w:t>
                </w:r>
                <w:r w:rsidR="00810909" w:rsidRPr="00825C94">
                  <w:rPr>
                    <w:rFonts w:ascii="Franklin Gothic Book" w:hAnsi="Franklin Gothic Book" w:cs="Calibri"/>
                    <w:color w:val="000000"/>
                    <w:sz w:val="24"/>
                    <w:szCs w:val="24"/>
                    <w:lang w:val="fr-FR"/>
                  </w:rPr>
                  <w:t xml:space="preserve"> </w:t>
                </w:r>
                <w:r>
                  <w:rPr>
                    <w:rFonts w:ascii="Franklin Gothic Book" w:hAnsi="Franklin Gothic Book" w:cs="Calibri"/>
                    <w:color w:val="000000"/>
                    <w:sz w:val="24"/>
                    <w:szCs w:val="24"/>
                    <w:lang w:val="fr-FR"/>
                  </w:rPr>
                  <w:t xml:space="preserve">pour chacun/e des </w:t>
                </w:r>
                <w:r w:rsidR="00825C94" w:rsidRPr="00825C94">
                  <w:rPr>
                    <w:rFonts w:ascii="Franklin Gothic Book" w:hAnsi="Franklin Gothic Book" w:cs="Calibri"/>
                    <w:color w:val="000000"/>
                    <w:sz w:val="24"/>
                    <w:szCs w:val="24"/>
                    <w:lang w:val="fr-FR"/>
                  </w:rPr>
                  <w:t>consultant/e/s proposé/e/s</w:t>
                </w:r>
              </w:p>
              <w:p w14:paraId="7588D251" w14:textId="4C722291" w:rsidR="00810909" w:rsidRDefault="00810909" w:rsidP="00825C94">
                <w:pPr>
                  <w:pStyle w:val="ListParagraph"/>
                  <w:numPr>
                    <w:ilvl w:val="0"/>
                    <w:numId w:val="43"/>
                  </w:numPr>
                  <w:autoSpaceDE w:val="0"/>
                  <w:autoSpaceDN w:val="0"/>
                  <w:adjustRightInd w:val="0"/>
                  <w:spacing w:after="0" w:line="240" w:lineRule="auto"/>
                  <w:ind w:left="447"/>
                  <w:jc w:val="both"/>
                  <w:rPr>
                    <w:rFonts w:ascii="Franklin Gothic Book" w:hAnsi="Franklin Gothic Book" w:cs="Calibri"/>
                    <w:color w:val="000000"/>
                    <w:sz w:val="24"/>
                    <w:szCs w:val="24"/>
                    <w:lang w:val="fr-FR"/>
                  </w:rPr>
                </w:pPr>
                <w:r>
                  <w:rPr>
                    <w:rFonts w:ascii="Franklin Gothic Book" w:hAnsi="Franklin Gothic Book" w:cs="Calibri"/>
                    <w:color w:val="000000"/>
                    <w:sz w:val="24"/>
                    <w:szCs w:val="24"/>
                    <w:lang w:val="fr-FR"/>
                  </w:rPr>
                  <w:t>Au moins deux extraits de travaux passés (minimum 4 pages par extrait)</w:t>
                </w:r>
              </w:p>
              <w:p w14:paraId="3323D257" w14:textId="77777777" w:rsidR="00907ECA" w:rsidRDefault="00907ECA" w:rsidP="00907ECA">
                <w:pPr>
                  <w:autoSpaceDE w:val="0"/>
                  <w:autoSpaceDN w:val="0"/>
                  <w:adjustRightInd w:val="0"/>
                  <w:spacing w:after="0" w:line="240" w:lineRule="auto"/>
                  <w:jc w:val="both"/>
                  <w:rPr>
                    <w:rFonts w:ascii="Franklin Gothic Book" w:hAnsi="Franklin Gothic Book" w:cs="Calibri"/>
                    <w:color w:val="000000"/>
                    <w:sz w:val="24"/>
                    <w:szCs w:val="24"/>
                    <w:lang w:val="fr-FR"/>
                  </w:rPr>
                </w:pPr>
              </w:p>
              <w:p w14:paraId="30729235" w14:textId="0243F463" w:rsidR="00907ECA" w:rsidRDefault="00907ECA" w:rsidP="00907ECA">
                <w:pPr>
                  <w:autoSpaceDE w:val="0"/>
                  <w:autoSpaceDN w:val="0"/>
                  <w:adjustRightInd w:val="0"/>
                  <w:spacing w:after="0" w:line="240" w:lineRule="auto"/>
                  <w:jc w:val="both"/>
                  <w:rPr>
                    <w:rFonts w:ascii="Franklin Gothic Book" w:hAnsi="Franklin Gothic Book" w:cs="Calibri"/>
                    <w:color w:val="000000"/>
                    <w:sz w:val="24"/>
                    <w:szCs w:val="24"/>
                    <w:lang w:val="fr-FR"/>
                  </w:rPr>
                </w:pPr>
                <w:r>
                  <w:rPr>
                    <w:rFonts w:ascii="Franklin Gothic Book" w:hAnsi="Franklin Gothic Book" w:cs="Calibri"/>
                    <w:color w:val="000000"/>
                    <w:sz w:val="24"/>
                    <w:szCs w:val="24"/>
                    <w:lang w:val="fr-FR"/>
                  </w:rPr>
                  <w:t xml:space="preserve">Envoyer les dossiers à : </w:t>
                </w:r>
                <w:hyperlink r:id="rId13" w:history="1">
                  <w:r w:rsidRPr="00C1524F">
                    <w:rPr>
                      <w:rStyle w:val="Hyperlink"/>
                      <w:rFonts w:ascii="Franklin Gothic Book" w:hAnsi="Franklin Gothic Book" w:cs="Calibri"/>
                      <w:sz w:val="24"/>
                      <w:szCs w:val="24"/>
                      <w:lang w:val="fr-FR"/>
                    </w:rPr>
                    <w:t>ml.logistics@nrc.no</w:t>
                  </w:r>
                </w:hyperlink>
                <w:r w:rsidRPr="00907ECA">
                  <w:rPr>
                    <w:rFonts w:ascii="Franklin Gothic Book" w:hAnsi="Franklin Gothic Book" w:cs="Calibri"/>
                    <w:color w:val="000000"/>
                    <w:sz w:val="24"/>
                    <w:szCs w:val="24"/>
                    <w:lang w:val="fr-FR"/>
                  </w:rPr>
                  <w:t xml:space="preserve">, </w:t>
                </w:r>
                <w:r>
                  <w:rPr>
                    <w:rFonts w:ascii="Franklin Gothic Book" w:hAnsi="Franklin Gothic Book" w:cs="Calibri"/>
                    <w:color w:val="000000"/>
                    <w:sz w:val="24"/>
                    <w:szCs w:val="24"/>
                    <w:lang w:val="fr-FR"/>
                  </w:rPr>
                  <w:t>mettant en copie</w:t>
                </w:r>
                <w:r w:rsidRPr="00907ECA">
                  <w:rPr>
                    <w:rFonts w:ascii="Franklin Gothic Book" w:hAnsi="Franklin Gothic Book" w:cs="Calibri"/>
                    <w:color w:val="000000"/>
                    <w:sz w:val="24"/>
                    <w:szCs w:val="24"/>
                    <w:lang w:val="fr-FR"/>
                  </w:rPr>
                  <w:t xml:space="preserve"> : </w:t>
                </w:r>
                <w:hyperlink r:id="rId14" w:history="1">
                  <w:r w:rsidRPr="00C1524F">
                    <w:rPr>
                      <w:rStyle w:val="Hyperlink"/>
                      <w:rFonts w:ascii="Franklin Gothic Book" w:hAnsi="Franklin Gothic Book" w:cs="Calibri"/>
                      <w:sz w:val="24"/>
                      <w:szCs w:val="24"/>
                      <w:lang w:val="fr-FR"/>
                    </w:rPr>
                    <w:t>Erick.Ngoga@nrc.no</w:t>
                  </w:r>
                </w:hyperlink>
              </w:p>
              <w:p w14:paraId="5C33A72D" w14:textId="075A5B70" w:rsidR="00907ECA" w:rsidRPr="00907ECA" w:rsidRDefault="00907ECA" w:rsidP="00907ECA">
                <w:pPr>
                  <w:autoSpaceDE w:val="0"/>
                  <w:autoSpaceDN w:val="0"/>
                  <w:adjustRightInd w:val="0"/>
                  <w:spacing w:after="0" w:line="240" w:lineRule="auto"/>
                  <w:jc w:val="both"/>
                  <w:rPr>
                    <w:rFonts w:ascii="Franklin Gothic Book" w:hAnsi="Franklin Gothic Book" w:cs="Calibri"/>
                    <w:color w:val="000000"/>
                    <w:sz w:val="24"/>
                    <w:szCs w:val="24"/>
                    <w:lang w:val="fr-FR"/>
                  </w:rPr>
                </w:pPr>
              </w:p>
            </w:tc>
          </w:tr>
        </w:tbl>
        <w:p w14:paraId="5C33A72F" w14:textId="77777777" w:rsidR="00864BC7" w:rsidRPr="00864BC7" w:rsidRDefault="00D970DB" w:rsidP="00864BC7"/>
      </w:sdtContent>
    </w:sdt>
    <w:p w14:paraId="5C33A730" w14:textId="77777777" w:rsidR="009854AC" w:rsidRPr="0081194C" w:rsidRDefault="009854AC" w:rsidP="00BA1C41"/>
    <w:p w14:paraId="5C33A731" w14:textId="77777777" w:rsidR="00F841EC" w:rsidRPr="0081194C" w:rsidRDefault="00F841EC">
      <w:pPr>
        <w:rPr>
          <w:rFonts w:ascii="Franklin Gothic Medium" w:eastAsiaTheme="majorEastAsia" w:hAnsi="Franklin Gothic Medium" w:cstheme="majorBidi"/>
          <w:iCs/>
          <w:caps/>
        </w:rPr>
        <w:sectPr w:rsidR="00F841EC" w:rsidRPr="0081194C" w:rsidSect="00B334AD">
          <w:footerReference w:type="default" r:id="rId15"/>
          <w:pgSz w:w="11906" w:h="16838" w:code="9"/>
          <w:pgMar w:top="1701" w:right="991" w:bottom="1985" w:left="993" w:header="709" w:footer="567" w:gutter="0"/>
          <w:cols w:space="708"/>
          <w:docGrid w:linePitch="360"/>
        </w:sect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3"/>
        <w:gridCol w:w="3963"/>
      </w:tblGrid>
      <w:tr w:rsidR="00F841EC" w:rsidRPr="0081194C" w14:paraId="5C33A734" w14:textId="77777777" w:rsidTr="00F841EC">
        <w:tc>
          <w:tcPr>
            <w:tcW w:w="3963" w:type="dxa"/>
          </w:tcPr>
          <w:p w14:paraId="5C33A732" w14:textId="77777777" w:rsidR="00F841EC" w:rsidRPr="0081194C" w:rsidRDefault="00F841EC" w:rsidP="00F841EC">
            <w:pPr>
              <w:spacing w:after="300"/>
            </w:pPr>
            <w:r w:rsidRPr="0081194C">
              <w:lastRenderedPageBreak/>
              <w:t>www.nrc.no</w:t>
            </w:r>
          </w:p>
        </w:tc>
        <w:tc>
          <w:tcPr>
            <w:tcW w:w="3963" w:type="dxa"/>
          </w:tcPr>
          <w:p w14:paraId="5C33A733" w14:textId="77777777" w:rsidR="00F841EC" w:rsidRPr="0081194C" w:rsidRDefault="00F841EC" w:rsidP="00F841EC"/>
        </w:tc>
      </w:tr>
      <w:tr w:rsidR="00F841EC" w:rsidRPr="0081194C" w14:paraId="5C33A739" w14:textId="77777777" w:rsidTr="00F841EC">
        <w:tc>
          <w:tcPr>
            <w:tcW w:w="3963" w:type="dxa"/>
          </w:tcPr>
          <w:p w14:paraId="5C33A735" w14:textId="77777777" w:rsidR="00F841EC" w:rsidRPr="0081194C" w:rsidRDefault="00F841EC" w:rsidP="00F841EC">
            <w:pPr>
              <w:spacing w:line="259" w:lineRule="auto"/>
            </w:pPr>
            <w:r w:rsidRPr="0081194C">
              <w:t>Norwegian Refugee Council</w:t>
            </w:r>
          </w:p>
          <w:p w14:paraId="5C33A736" w14:textId="77777777" w:rsidR="00F841EC" w:rsidRPr="0081194C" w:rsidRDefault="007D172E" w:rsidP="00F841EC">
            <w:pPr>
              <w:spacing w:line="259" w:lineRule="auto"/>
            </w:pPr>
            <w:r w:rsidRPr="0081194C">
              <w:t>Postboks</w:t>
            </w:r>
            <w:r w:rsidR="00F841EC" w:rsidRPr="0081194C">
              <w:t xml:space="preserve"> 148 Sentrum</w:t>
            </w:r>
          </w:p>
          <w:p w14:paraId="5C33A737" w14:textId="77777777" w:rsidR="00F841EC" w:rsidRPr="0081194C" w:rsidRDefault="007D172E" w:rsidP="00F841EC">
            <w:pPr>
              <w:spacing w:line="259" w:lineRule="auto"/>
            </w:pPr>
            <w:r w:rsidRPr="0081194C">
              <w:t>0102 O</w:t>
            </w:r>
            <w:r w:rsidR="00F841EC" w:rsidRPr="0081194C">
              <w:t>slo, Norway</w:t>
            </w:r>
          </w:p>
        </w:tc>
        <w:tc>
          <w:tcPr>
            <w:tcW w:w="3963" w:type="dxa"/>
          </w:tcPr>
          <w:p w14:paraId="5C33A738" w14:textId="77777777" w:rsidR="00F841EC" w:rsidRPr="0081194C" w:rsidRDefault="00F841EC" w:rsidP="00F841EC"/>
        </w:tc>
      </w:tr>
    </w:tbl>
    <w:p w14:paraId="5C33A73A" w14:textId="77777777" w:rsidR="00912719" w:rsidRPr="0081194C" w:rsidRDefault="00912719" w:rsidP="00D30B31">
      <w:pPr>
        <w:rPr>
          <w:rFonts w:ascii="Franklin Gothic Medium" w:eastAsiaTheme="majorEastAsia" w:hAnsi="Franklin Gothic Medium" w:cstheme="majorBidi"/>
          <w:iCs/>
          <w:caps/>
        </w:rPr>
      </w:pPr>
    </w:p>
    <w:sectPr w:rsidR="00912719" w:rsidRPr="0081194C" w:rsidSect="00B334AD">
      <w:headerReference w:type="default" r:id="rId16"/>
      <w:footerReference w:type="default" r:id="rId17"/>
      <w:pgSz w:w="11906" w:h="16838" w:code="9"/>
      <w:pgMar w:top="1985" w:right="991" w:bottom="158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999A0" w14:textId="77777777" w:rsidR="00D970DB" w:rsidRDefault="00D970DB" w:rsidP="0062174F">
      <w:pPr>
        <w:spacing w:after="0" w:line="240" w:lineRule="auto"/>
      </w:pPr>
      <w:r>
        <w:separator/>
      </w:r>
    </w:p>
  </w:endnote>
  <w:endnote w:type="continuationSeparator" w:id="0">
    <w:p w14:paraId="59988294" w14:textId="77777777" w:rsidR="00D970DB" w:rsidRDefault="00D970DB" w:rsidP="0062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A744" w14:textId="0C3FCC93" w:rsidR="00EA03DB" w:rsidRPr="005A3450" w:rsidRDefault="00EA03DB" w:rsidP="003F575E">
    <w:pPr>
      <w:pStyle w:val="Footer"/>
      <w:rPr>
        <w:lang w:val="nb-NO"/>
      </w:rPr>
    </w:pPr>
    <w:r w:rsidRPr="002E490C">
      <w:rPr>
        <w:lang w:val="nb-NO"/>
      </w:rPr>
      <w:t xml:space="preserve">Termes de Référence Evaluation Externe des programmes de NRC au Mali </w:t>
    </w:r>
    <w:r>
      <w:rPr>
        <w:lang w:val="nb-NO"/>
      </w:rPr>
      <w:t xml:space="preserve">| </w:t>
    </w:r>
    <w:sdt>
      <w:sdtPr>
        <w:rPr>
          <w:color w:val="2B579A"/>
          <w:shd w:val="clear" w:color="auto" w:fill="E6E6E6"/>
          <w:lang w:val="nb-NO"/>
        </w:rPr>
        <w:alias w:val="Date"/>
        <w:tag w:val="Date"/>
        <w:id w:val="277302173"/>
        <w:placeholder>
          <w:docPart w:val="957D97281F8C45DC87EA409313CB83D1"/>
        </w:placeholder>
        <w:date w:fullDate="2022-06-15T00:00:00Z">
          <w:dateFormat w:val="MMMM yyyy"/>
          <w:lid w:val="nb-NO"/>
          <w:storeMappedDataAs w:val="dateTime"/>
          <w:calendar w:val="gregorian"/>
        </w:date>
      </w:sdtPr>
      <w:sdtEndPr/>
      <w:sdtContent>
        <w:r>
          <w:rPr>
            <w:color w:val="2B579A"/>
            <w:shd w:val="clear" w:color="auto" w:fill="E6E6E6"/>
            <w:lang w:val="nb-NO"/>
          </w:rPr>
          <w:t>juni 2022</w:t>
        </w:r>
      </w:sdtContent>
    </w:sdt>
    <w:r>
      <w:rPr>
        <w:lang w:val="nb-NO"/>
      </w:rPr>
      <w:t xml:space="preserve"> | page </w:t>
    </w:r>
    <w:r>
      <w:rPr>
        <w:color w:val="2B579A"/>
        <w:shd w:val="clear" w:color="auto" w:fill="E6E6E6"/>
        <w:lang w:val="nb-NO"/>
      </w:rPr>
      <w:fldChar w:fldCharType="begin"/>
    </w:r>
    <w:r>
      <w:rPr>
        <w:lang w:val="nb-NO"/>
      </w:rPr>
      <w:instrText xml:space="preserve"> PAGE  \* Arabic  \* MERGEFORMAT </w:instrText>
    </w:r>
    <w:r>
      <w:rPr>
        <w:color w:val="2B579A"/>
        <w:shd w:val="clear" w:color="auto" w:fill="E6E6E6"/>
        <w:lang w:val="nb-NO"/>
      </w:rPr>
      <w:fldChar w:fldCharType="separate"/>
    </w:r>
    <w:r w:rsidR="006943C6">
      <w:rPr>
        <w:noProof/>
        <w:lang w:val="nb-NO"/>
      </w:rPr>
      <w:t>1</w:t>
    </w:r>
    <w:r>
      <w:rPr>
        <w:color w:val="2B579A"/>
        <w:shd w:val="clear" w:color="auto" w:fill="E6E6E6"/>
        <w:lang w:val="nb-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A746" w14:textId="77777777" w:rsidR="00EA03DB" w:rsidRPr="005A3450" w:rsidRDefault="00EA03DB" w:rsidP="009F049D">
    <w:pPr>
      <w:pStyle w:val="Footer"/>
      <w:jc w:val="lef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602F" w14:textId="77777777" w:rsidR="00D970DB" w:rsidRPr="00FC707B" w:rsidRDefault="00D970DB" w:rsidP="00FC707B">
      <w:pPr>
        <w:tabs>
          <w:tab w:val="left" w:leader="dot" w:pos="8505"/>
        </w:tabs>
        <w:spacing w:before="160" w:after="80" w:line="240" w:lineRule="auto"/>
        <w:rPr>
          <w:u w:val="single"/>
        </w:rPr>
      </w:pPr>
      <w:r w:rsidRPr="00FC707B">
        <w:tab/>
      </w:r>
    </w:p>
  </w:footnote>
  <w:footnote w:type="continuationSeparator" w:id="0">
    <w:p w14:paraId="395D9D68" w14:textId="77777777" w:rsidR="00D970DB" w:rsidRDefault="00D970DB" w:rsidP="0062174F">
      <w:pPr>
        <w:spacing w:after="0" w:line="240" w:lineRule="auto"/>
      </w:pPr>
      <w:r>
        <w:continuationSeparator/>
      </w:r>
    </w:p>
  </w:footnote>
  <w:footnote w:id="1">
    <w:p w14:paraId="2FBFE58F" w14:textId="4D31CAAA" w:rsidR="00EA03DB" w:rsidRPr="00EA03DB" w:rsidRDefault="00EA03DB">
      <w:pPr>
        <w:pStyle w:val="FootnoteText"/>
        <w:rPr>
          <w:lang w:val="fr-FR"/>
        </w:rPr>
      </w:pPr>
      <w:r>
        <w:rPr>
          <w:rStyle w:val="FootnoteReference"/>
        </w:rPr>
        <w:footnoteRef/>
      </w:r>
      <w:r w:rsidRPr="00EA03DB">
        <w:rPr>
          <w:lang w:val="fr-FR"/>
        </w:rPr>
        <w:t xml:space="preserve"> OCHA, Rapport de situation, Dernière mise à jour: 13 juin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A745" w14:textId="77777777" w:rsidR="00EA03DB" w:rsidRPr="00F841EC" w:rsidRDefault="00EA03DB">
    <w:pPr>
      <w:pStyle w:val="Header"/>
      <w:rPr>
        <w:lang w:val="nb-NO"/>
      </w:rPr>
    </w:pPr>
    <w:r>
      <w:rPr>
        <w:noProof/>
        <w:color w:val="2B579A"/>
        <w:shd w:val="clear" w:color="auto" w:fill="E6E6E6"/>
        <w:lang w:val="fr-FR" w:eastAsia="fr-FR"/>
      </w:rPr>
      <w:drawing>
        <wp:anchor distT="0" distB="0" distL="114300" distR="114300" simplePos="0" relativeHeight="251658240" behindDoc="1" locked="0" layoutInCell="1" allowOverlap="1" wp14:anchorId="5C33A747" wp14:editId="5C33A748">
          <wp:simplePos x="0" y="0"/>
          <wp:positionH relativeFrom="margin">
            <wp:align>center</wp:align>
          </wp:positionH>
          <wp:positionV relativeFrom="margin">
            <wp:posOffset>3128261</wp:posOffset>
          </wp:positionV>
          <wp:extent cx="1444633" cy="1261768"/>
          <wp:effectExtent l="0" t="0" r="3175" b="0"/>
          <wp:wrapNone/>
          <wp:docPr id="2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side_logo150dpi_cropped.png"/>
                  <pic:cNvPicPr/>
                </pic:nvPicPr>
                <pic:blipFill>
                  <a:blip r:embed="rId1">
                    <a:extLst>
                      <a:ext uri="{28A0092B-C50C-407E-A947-70E740481C1C}">
                        <a14:useLocalDpi xmlns:a14="http://schemas.microsoft.com/office/drawing/2010/main" val="0"/>
                      </a:ext>
                    </a:extLst>
                  </a:blip>
                  <a:stretch>
                    <a:fillRect/>
                  </a:stretch>
                </pic:blipFill>
                <pic:spPr>
                  <a:xfrm>
                    <a:off x="0" y="0"/>
                    <a:ext cx="1444633" cy="126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04F3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25F81"/>
    <w:multiLevelType w:val="hybridMultilevel"/>
    <w:tmpl w:val="672A2F9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5AF45B0"/>
    <w:multiLevelType w:val="hybridMultilevel"/>
    <w:tmpl w:val="4A644EF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06117F"/>
    <w:multiLevelType w:val="hybridMultilevel"/>
    <w:tmpl w:val="E44612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84A12"/>
    <w:multiLevelType w:val="hybridMultilevel"/>
    <w:tmpl w:val="B9104C58"/>
    <w:lvl w:ilvl="0" w:tplc="FF2E3BCE">
      <w:numFmt w:val="bullet"/>
      <w:lvlText w:val="-"/>
      <w:lvlJc w:val="left"/>
      <w:pPr>
        <w:ind w:left="1433" w:hanging="360"/>
      </w:pPr>
      <w:rPr>
        <w:rFonts w:ascii="Arial" w:eastAsia="Times New Roman" w:hAnsi="Arial" w:cs="Arial" w:hint="default"/>
      </w:rPr>
    </w:lvl>
    <w:lvl w:ilvl="1" w:tplc="04090003">
      <w:start w:val="1"/>
      <w:numFmt w:val="bullet"/>
      <w:lvlText w:val="o"/>
      <w:lvlJc w:val="left"/>
      <w:pPr>
        <w:ind w:left="2153" w:hanging="360"/>
      </w:pPr>
      <w:rPr>
        <w:rFonts w:ascii="Courier New" w:hAnsi="Courier New" w:cs="Courier New" w:hint="default"/>
      </w:rPr>
    </w:lvl>
    <w:lvl w:ilvl="2" w:tplc="04090005">
      <w:start w:val="1"/>
      <w:numFmt w:val="bullet"/>
      <w:lvlText w:val=""/>
      <w:lvlJc w:val="left"/>
      <w:pPr>
        <w:ind w:left="2873" w:hanging="360"/>
      </w:pPr>
      <w:rPr>
        <w:rFonts w:ascii="Wingdings" w:hAnsi="Wingdings" w:hint="default"/>
      </w:rPr>
    </w:lvl>
    <w:lvl w:ilvl="3" w:tplc="04090001">
      <w:start w:val="1"/>
      <w:numFmt w:val="bullet"/>
      <w:lvlText w:val=""/>
      <w:lvlJc w:val="left"/>
      <w:pPr>
        <w:ind w:left="3593" w:hanging="360"/>
      </w:pPr>
      <w:rPr>
        <w:rFonts w:ascii="Symbol" w:hAnsi="Symbol" w:hint="default"/>
      </w:rPr>
    </w:lvl>
    <w:lvl w:ilvl="4" w:tplc="04090003">
      <w:start w:val="1"/>
      <w:numFmt w:val="bullet"/>
      <w:lvlText w:val="o"/>
      <w:lvlJc w:val="left"/>
      <w:pPr>
        <w:ind w:left="4313" w:hanging="360"/>
      </w:pPr>
      <w:rPr>
        <w:rFonts w:ascii="Courier New" w:hAnsi="Courier New" w:cs="Courier New" w:hint="default"/>
      </w:rPr>
    </w:lvl>
    <w:lvl w:ilvl="5" w:tplc="04090005">
      <w:start w:val="1"/>
      <w:numFmt w:val="bullet"/>
      <w:lvlText w:val=""/>
      <w:lvlJc w:val="left"/>
      <w:pPr>
        <w:ind w:left="5033" w:hanging="360"/>
      </w:pPr>
      <w:rPr>
        <w:rFonts w:ascii="Wingdings" w:hAnsi="Wingdings" w:hint="default"/>
      </w:rPr>
    </w:lvl>
    <w:lvl w:ilvl="6" w:tplc="04090001">
      <w:start w:val="1"/>
      <w:numFmt w:val="bullet"/>
      <w:lvlText w:val=""/>
      <w:lvlJc w:val="left"/>
      <w:pPr>
        <w:ind w:left="5753" w:hanging="360"/>
      </w:pPr>
      <w:rPr>
        <w:rFonts w:ascii="Symbol" w:hAnsi="Symbol" w:hint="default"/>
      </w:rPr>
    </w:lvl>
    <w:lvl w:ilvl="7" w:tplc="04090003">
      <w:start w:val="1"/>
      <w:numFmt w:val="bullet"/>
      <w:lvlText w:val="o"/>
      <w:lvlJc w:val="left"/>
      <w:pPr>
        <w:ind w:left="6473" w:hanging="360"/>
      </w:pPr>
      <w:rPr>
        <w:rFonts w:ascii="Courier New" w:hAnsi="Courier New" w:cs="Courier New" w:hint="default"/>
      </w:rPr>
    </w:lvl>
    <w:lvl w:ilvl="8" w:tplc="04090005">
      <w:start w:val="1"/>
      <w:numFmt w:val="bullet"/>
      <w:lvlText w:val=""/>
      <w:lvlJc w:val="left"/>
      <w:pPr>
        <w:ind w:left="7193" w:hanging="360"/>
      </w:pPr>
      <w:rPr>
        <w:rFonts w:ascii="Wingdings" w:hAnsi="Wingdings" w:hint="default"/>
      </w:rPr>
    </w:lvl>
  </w:abstractNum>
  <w:abstractNum w:abstractNumId="5" w15:restartNumberingAfterBreak="0">
    <w:nsid w:val="0DD25F06"/>
    <w:multiLevelType w:val="hybridMultilevel"/>
    <w:tmpl w:val="F8044C6E"/>
    <w:lvl w:ilvl="0" w:tplc="8E4EC6EC">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0F2DEC"/>
    <w:multiLevelType w:val="hybridMultilevel"/>
    <w:tmpl w:val="9752A0C8"/>
    <w:lvl w:ilvl="0" w:tplc="814CD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408C6"/>
    <w:multiLevelType w:val="hybridMultilevel"/>
    <w:tmpl w:val="77E64D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2B3B38"/>
    <w:multiLevelType w:val="hybridMultilevel"/>
    <w:tmpl w:val="284A2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B570B"/>
    <w:multiLevelType w:val="hybridMultilevel"/>
    <w:tmpl w:val="255CC0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8C4D88"/>
    <w:multiLevelType w:val="hybridMultilevel"/>
    <w:tmpl w:val="2DE2A7B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055FBD"/>
    <w:multiLevelType w:val="hybridMultilevel"/>
    <w:tmpl w:val="44722F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A715BB"/>
    <w:multiLevelType w:val="hybridMultilevel"/>
    <w:tmpl w:val="D35609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1908BC"/>
    <w:multiLevelType w:val="hybridMultilevel"/>
    <w:tmpl w:val="9CEED5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5B5661"/>
    <w:multiLevelType w:val="hybridMultilevel"/>
    <w:tmpl w:val="1778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80B4F"/>
    <w:multiLevelType w:val="hybridMultilevel"/>
    <w:tmpl w:val="2DCC7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4A0E24"/>
    <w:multiLevelType w:val="hybridMultilevel"/>
    <w:tmpl w:val="755852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53687B"/>
    <w:multiLevelType w:val="hybridMultilevel"/>
    <w:tmpl w:val="18CA6BF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F440D"/>
    <w:multiLevelType w:val="multilevel"/>
    <w:tmpl w:val="3020BADC"/>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9" w15:restartNumberingAfterBreak="0">
    <w:nsid w:val="3D8978A1"/>
    <w:multiLevelType w:val="hybridMultilevel"/>
    <w:tmpl w:val="0714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A0080"/>
    <w:multiLevelType w:val="hybridMultilevel"/>
    <w:tmpl w:val="B5CAA1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CA6470"/>
    <w:multiLevelType w:val="hybridMultilevel"/>
    <w:tmpl w:val="E036F22C"/>
    <w:lvl w:ilvl="0" w:tplc="0F988A0C">
      <w:start w:val="1"/>
      <w:numFmt w:val="decimal"/>
      <w:pStyle w:val="AppendixTitleNRC"/>
      <w:lvlText w:val="Appendix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0316BF8"/>
    <w:multiLevelType w:val="hybridMultilevel"/>
    <w:tmpl w:val="8D1A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76E7C"/>
    <w:multiLevelType w:val="hybridMultilevel"/>
    <w:tmpl w:val="90BCF930"/>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A174DE"/>
    <w:multiLevelType w:val="hybridMultilevel"/>
    <w:tmpl w:val="982A00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3823F8"/>
    <w:multiLevelType w:val="hybridMultilevel"/>
    <w:tmpl w:val="EAD6D60A"/>
    <w:lvl w:ilvl="0" w:tplc="AF804A4E">
      <w:start w:val="1"/>
      <w:numFmt w:val="decimal"/>
      <w:pStyle w:val="ListParagraph"/>
      <w:lvlText w:val="%1."/>
      <w:lvlJc w:val="left"/>
      <w:pPr>
        <w:ind w:left="36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6" w15:restartNumberingAfterBreak="0">
    <w:nsid w:val="50EF1481"/>
    <w:multiLevelType w:val="hybridMultilevel"/>
    <w:tmpl w:val="93E4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E79C6"/>
    <w:multiLevelType w:val="hybridMultilevel"/>
    <w:tmpl w:val="EC1476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1A00C7"/>
    <w:multiLevelType w:val="hybridMultilevel"/>
    <w:tmpl w:val="1444E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29307A2"/>
    <w:multiLevelType w:val="hybridMultilevel"/>
    <w:tmpl w:val="1010BBD6"/>
    <w:lvl w:ilvl="0" w:tplc="040C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2CE749D"/>
    <w:multiLevelType w:val="hybridMultilevel"/>
    <w:tmpl w:val="C7F8323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91F3FC8"/>
    <w:multiLevelType w:val="hybridMultilevel"/>
    <w:tmpl w:val="583A06D8"/>
    <w:lvl w:ilvl="0" w:tplc="040C0003">
      <w:start w:val="1"/>
      <w:numFmt w:val="bullet"/>
      <w:lvlText w:val="o"/>
      <w:lvlJc w:val="left"/>
      <w:pPr>
        <w:ind w:left="720" w:hanging="360"/>
      </w:pPr>
      <w:rPr>
        <w:rFonts w:ascii="Courier New" w:hAnsi="Courier New" w:cs="Courier New" w:hint="default"/>
      </w:rPr>
    </w:lvl>
    <w:lvl w:ilvl="1" w:tplc="EF2E7E0A">
      <w:numFmt w:val="bullet"/>
      <w:lvlText w:val="•"/>
      <w:lvlJc w:val="left"/>
      <w:pPr>
        <w:ind w:left="1440" w:hanging="360"/>
      </w:pPr>
      <w:rPr>
        <w:rFonts w:ascii="Franklin Gothic Book" w:eastAsiaTheme="minorHAnsi" w:hAnsi="Franklin Gothic Book"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482F73"/>
    <w:multiLevelType w:val="hybridMultilevel"/>
    <w:tmpl w:val="FCBC74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D81017"/>
    <w:multiLevelType w:val="hybridMultilevel"/>
    <w:tmpl w:val="EEBEB05E"/>
    <w:lvl w:ilvl="0" w:tplc="2AB4B0AA">
      <w:numFmt w:val="bullet"/>
      <w:lvlText w:val="•"/>
      <w:lvlJc w:val="left"/>
      <w:pPr>
        <w:ind w:left="720" w:hanging="720"/>
      </w:pPr>
      <w:rPr>
        <w:rFonts w:ascii="Arial" w:eastAsia="Times New Roman" w:hAnsi="Arial" w:cs="Arial" w:hint="default"/>
        <w:b/>
        <w:sz w:val="2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3144DF5"/>
    <w:multiLevelType w:val="hybridMultilevel"/>
    <w:tmpl w:val="F81E57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F54D27"/>
    <w:multiLevelType w:val="hybridMultilevel"/>
    <w:tmpl w:val="0B9499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6E393F"/>
    <w:multiLevelType w:val="hybridMultilevel"/>
    <w:tmpl w:val="E892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0386E"/>
    <w:multiLevelType w:val="hybridMultilevel"/>
    <w:tmpl w:val="2DC2DA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954587"/>
    <w:multiLevelType w:val="multilevel"/>
    <w:tmpl w:val="16FE5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A93E3D"/>
    <w:multiLevelType w:val="hybridMultilevel"/>
    <w:tmpl w:val="F7FC2F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640438"/>
    <w:multiLevelType w:val="hybridMultilevel"/>
    <w:tmpl w:val="FD9856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0044F6"/>
    <w:multiLevelType w:val="hybridMultilevel"/>
    <w:tmpl w:val="04BAB1B6"/>
    <w:lvl w:ilvl="0" w:tplc="8BF82F9C">
      <w:numFmt w:val="bullet"/>
      <w:lvlText w:val=""/>
      <w:lvlJc w:val="left"/>
      <w:pPr>
        <w:ind w:left="1068" w:hanging="708"/>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B96168"/>
    <w:multiLevelType w:val="hybridMultilevel"/>
    <w:tmpl w:val="180494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8B7011"/>
    <w:multiLevelType w:val="hybridMultilevel"/>
    <w:tmpl w:val="D71253B8"/>
    <w:lvl w:ilvl="0" w:tplc="7444C450">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9F6B52"/>
    <w:multiLevelType w:val="hybridMultilevel"/>
    <w:tmpl w:val="FFA4F2F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3"/>
  </w:num>
  <w:num w:numId="4">
    <w:abstractNumId w:val="25"/>
  </w:num>
  <w:num w:numId="5">
    <w:abstractNumId w:val="9"/>
  </w:num>
  <w:num w:numId="6">
    <w:abstractNumId w:val="21"/>
  </w:num>
  <w:num w:numId="7">
    <w:abstractNumId w:val="28"/>
  </w:num>
  <w:num w:numId="8">
    <w:abstractNumId w:val="4"/>
  </w:num>
  <w:num w:numId="9">
    <w:abstractNumId w:val="38"/>
  </w:num>
  <w:num w:numId="10">
    <w:abstractNumId w:val="30"/>
  </w:num>
  <w:num w:numId="11">
    <w:abstractNumId w:val="15"/>
  </w:num>
  <w:num w:numId="12">
    <w:abstractNumId w:val="2"/>
  </w:num>
  <w:num w:numId="13">
    <w:abstractNumId w:val="11"/>
  </w:num>
  <w:num w:numId="14">
    <w:abstractNumId w:val="33"/>
  </w:num>
  <w:num w:numId="15">
    <w:abstractNumId w:val="8"/>
  </w:num>
  <w:num w:numId="16">
    <w:abstractNumId w:val="14"/>
  </w:num>
  <w:num w:numId="17">
    <w:abstractNumId w:val="36"/>
  </w:num>
  <w:num w:numId="18">
    <w:abstractNumId w:val="19"/>
  </w:num>
  <w:num w:numId="19">
    <w:abstractNumId w:val="6"/>
  </w:num>
  <w:num w:numId="20">
    <w:abstractNumId w:val="26"/>
  </w:num>
  <w:num w:numId="21">
    <w:abstractNumId w:val="22"/>
  </w:num>
  <w:num w:numId="22">
    <w:abstractNumId w:val="1"/>
  </w:num>
  <w:num w:numId="23">
    <w:abstractNumId w:val="24"/>
  </w:num>
  <w:num w:numId="24">
    <w:abstractNumId w:val="43"/>
  </w:num>
  <w:num w:numId="25">
    <w:abstractNumId w:val="12"/>
  </w:num>
  <w:num w:numId="26">
    <w:abstractNumId w:val="5"/>
  </w:num>
  <w:num w:numId="27">
    <w:abstractNumId w:val="20"/>
  </w:num>
  <w:num w:numId="28">
    <w:abstractNumId w:val="3"/>
  </w:num>
  <w:num w:numId="29">
    <w:abstractNumId w:val="34"/>
  </w:num>
  <w:num w:numId="30">
    <w:abstractNumId w:val="44"/>
  </w:num>
  <w:num w:numId="31">
    <w:abstractNumId w:val="37"/>
  </w:num>
  <w:num w:numId="32">
    <w:abstractNumId w:val="7"/>
  </w:num>
  <w:num w:numId="33">
    <w:abstractNumId w:val="27"/>
  </w:num>
  <w:num w:numId="34">
    <w:abstractNumId w:val="41"/>
  </w:num>
  <w:num w:numId="35">
    <w:abstractNumId w:val="42"/>
  </w:num>
  <w:num w:numId="36">
    <w:abstractNumId w:val="31"/>
  </w:num>
  <w:num w:numId="37">
    <w:abstractNumId w:val="10"/>
  </w:num>
  <w:num w:numId="38">
    <w:abstractNumId w:val="29"/>
  </w:num>
  <w:num w:numId="39">
    <w:abstractNumId w:val="16"/>
  </w:num>
  <w:num w:numId="40">
    <w:abstractNumId w:val="17"/>
  </w:num>
  <w:num w:numId="41">
    <w:abstractNumId w:val="39"/>
  </w:num>
  <w:num w:numId="42">
    <w:abstractNumId w:val="32"/>
  </w:num>
  <w:num w:numId="43">
    <w:abstractNumId w:val="40"/>
  </w:num>
  <w:num w:numId="44">
    <w:abstractNumId w:val="3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51"/>
    <w:rsid w:val="000120D9"/>
    <w:rsid w:val="00013AD8"/>
    <w:rsid w:val="00060507"/>
    <w:rsid w:val="00065ECE"/>
    <w:rsid w:val="00066AB8"/>
    <w:rsid w:val="000751FA"/>
    <w:rsid w:val="00077A10"/>
    <w:rsid w:val="00090EB5"/>
    <w:rsid w:val="00091EBF"/>
    <w:rsid w:val="000A069E"/>
    <w:rsid w:val="000A6A1F"/>
    <w:rsid w:val="000C21B0"/>
    <w:rsid w:val="000C4B83"/>
    <w:rsid w:val="000C5E8C"/>
    <w:rsid w:val="000E1BD4"/>
    <w:rsid w:val="000E49C8"/>
    <w:rsid w:val="000F34AB"/>
    <w:rsid w:val="000F39F8"/>
    <w:rsid w:val="000F49D1"/>
    <w:rsid w:val="00103269"/>
    <w:rsid w:val="001138CC"/>
    <w:rsid w:val="0012192D"/>
    <w:rsid w:val="001323AD"/>
    <w:rsid w:val="00136F3C"/>
    <w:rsid w:val="00143091"/>
    <w:rsid w:val="00196267"/>
    <w:rsid w:val="001A37BD"/>
    <w:rsid w:val="001B0BBF"/>
    <w:rsid w:val="001B5F58"/>
    <w:rsid w:val="001B6690"/>
    <w:rsid w:val="001D7112"/>
    <w:rsid w:val="001E2B34"/>
    <w:rsid w:val="001F0E6A"/>
    <w:rsid w:val="001F218C"/>
    <w:rsid w:val="001F3CBC"/>
    <w:rsid w:val="00211EC8"/>
    <w:rsid w:val="0023045C"/>
    <w:rsid w:val="00237B71"/>
    <w:rsid w:val="00247AAD"/>
    <w:rsid w:val="00253653"/>
    <w:rsid w:val="002B405E"/>
    <w:rsid w:val="002E490C"/>
    <w:rsid w:val="002F4C3C"/>
    <w:rsid w:val="003014E7"/>
    <w:rsid w:val="00311FB5"/>
    <w:rsid w:val="00312F60"/>
    <w:rsid w:val="003162AD"/>
    <w:rsid w:val="00324A58"/>
    <w:rsid w:val="00346C35"/>
    <w:rsid w:val="00351BA9"/>
    <w:rsid w:val="00351EBD"/>
    <w:rsid w:val="003637EE"/>
    <w:rsid w:val="0038288C"/>
    <w:rsid w:val="0039048B"/>
    <w:rsid w:val="00390848"/>
    <w:rsid w:val="003930F0"/>
    <w:rsid w:val="00395483"/>
    <w:rsid w:val="003A2EAE"/>
    <w:rsid w:val="003A678D"/>
    <w:rsid w:val="003D0624"/>
    <w:rsid w:val="003E03C2"/>
    <w:rsid w:val="003F34FF"/>
    <w:rsid w:val="003F575E"/>
    <w:rsid w:val="00412F70"/>
    <w:rsid w:val="004141C4"/>
    <w:rsid w:val="004204B2"/>
    <w:rsid w:val="00430947"/>
    <w:rsid w:val="00431536"/>
    <w:rsid w:val="00454F70"/>
    <w:rsid w:val="0045567E"/>
    <w:rsid w:val="00461BC5"/>
    <w:rsid w:val="00461E87"/>
    <w:rsid w:val="00473482"/>
    <w:rsid w:val="0049547F"/>
    <w:rsid w:val="004A76E3"/>
    <w:rsid w:val="004A7E1D"/>
    <w:rsid w:val="004B5714"/>
    <w:rsid w:val="004C46CB"/>
    <w:rsid w:val="004D4FAF"/>
    <w:rsid w:val="004E6523"/>
    <w:rsid w:val="004F2ABF"/>
    <w:rsid w:val="00502E29"/>
    <w:rsid w:val="0051064D"/>
    <w:rsid w:val="00514A27"/>
    <w:rsid w:val="005301D4"/>
    <w:rsid w:val="005377F1"/>
    <w:rsid w:val="005460E0"/>
    <w:rsid w:val="00552711"/>
    <w:rsid w:val="00553837"/>
    <w:rsid w:val="005635F0"/>
    <w:rsid w:val="00577798"/>
    <w:rsid w:val="005A231A"/>
    <w:rsid w:val="005A3450"/>
    <w:rsid w:val="005D100E"/>
    <w:rsid w:val="005D72FB"/>
    <w:rsid w:val="005E47C0"/>
    <w:rsid w:val="005E5A6E"/>
    <w:rsid w:val="0060760C"/>
    <w:rsid w:val="00610AD9"/>
    <w:rsid w:val="00616C9C"/>
    <w:rsid w:val="0062174F"/>
    <w:rsid w:val="00621C3C"/>
    <w:rsid w:val="006237B5"/>
    <w:rsid w:val="0064322E"/>
    <w:rsid w:val="00655A8E"/>
    <w:rsid w:val="00657C72"/>
    <w:rsid w:val="00691078"/>
    <w:rsid w:val="00691150"/>
    <w:rsid w:val="006912D6"/>
    <w:rsid w:val="006943C6"/>
    <w:rsid w:val="006A05E8"/>
    <w:rsid w:val="006C36C0"/>
    <w:rsid w:val="006C599B"/>
    <w:rsid w:val="00702AE2"/>
    <w:rsid w:val="00702DA1"/>
    <w:rsid w:val="00704D00"/>
    <w:rsid w:val="00712779"/>
    <w:rsid w:val="00733A29"/>
    <w:rsid w:val="00745618"/>
    <w:rsid w:val="00752417"/>
    <w:rsid w:val="00753D7A"/>
    <w:rsid w:val="00777AA3"/>
    <w:rsid w:val="007868CE"/>
    <w:rsid w:val="007954BD"/>
    <w:rsid w:val="007A2EED"/>
    <w:rsid w:val="007B71CD"/>
    <w:rsid w:val="007B7F17"/>
    <w:rsid w:val="007C20D5"/>
    <w:rsid w:val="007D172E"/>
    <w:rsid w:val="007E0F48"/>
    <w:rsid w:val="007F0D7F"/>
    <w:rsid w:val="007F36CC"/>
    <w:rsid w:val="00810909"/>
    <w:rsid w:val="0081194C"/>
    <w:rsid w:val="00820678"/>
    <w:rsid w:val="00825C94"/>
    <w:rsid w:val="008267D8"/>
    <w:rsid w:val="00853727"/>
    <w:rsid w:val="008561F4"/>
    <w:rsid w:val="00864BC7"/>
    <w:rsid w:val="0088200C"/>
    <w:rsid w:val="00896FC3"/>
    <w:rsid w:val="008A1F64"/>
    <w:rsid w:val="008A45D8"/>
    <w:rsid w:val="008C10E9"/>
    <w:rsid w:val="008C24B7"/>
    <w:rsid w:val="008D28A9"/>
    <w:rsid w:val="008D7A49"/>
    <w:rsid w:val="008E31AD"/>
    <w:rsid w:val="008F2FB9"/>
    <w:rsid w:val="0090485F"/>
    <w:rsid w:val="00907ECA"/>
    <w:rsid w:val="00912719"/>
    <w:rsid w:val="009152E3"/>
    <w:rsid w:val="009235B0"/>
    <w:rsid w:val="00923EA2"/>
    <w:rsid w:val="009313D3"/>
    <w:rsid w:val="009324C9"/>
    <w:rsid w:val="009468CB"/>
    <w:rsid w:val="00964506"/>
    <w:rsid w:val="009652F5"/>
    <w:rsid w:val="00967449"/>
    <w:rsid w:val="009754D8"/>
    <w:rsid w:val="009854AC"/>
    <w:rsid w:val="00985A25"/>
    <w:rsid w:val="00987CBC"/>
    <w:rsid w:val="009A1B55"/>
    <w:rsid w:val="009A1F8C"/>
    <w:rsid w:val="009B0107"/>
    <w:rsid w:val="009D3C93"/>
    <w:rsid w:val="009F049D"/>
    <w:rsid w:val="009F1F9A"/>
    <w:rsid w:val="009F217C"/>
    <w:rsid w:val="00A001EB"/>
    <w:rsid w:val="00A02FB5"/>
    <w:rsid w:val="00A057B6"/>
    <w:rsid w:val="00A13146"/>
    <w:rsid w:val="00A15269"/>
    <w:rsid w:val="00A214FC"/>
    <w:rsid w:val="00A45680"/>
    <w:rsid w:val="00A517CA"/>
    <w:rsid w:val="00A766BB"/>
    <w:rsid w:val="00A90369"/>
    <w:rsid w:val="00AA5B5A"/>
    <w:rsid w:val="00AB3ADF"/>
    <w:rsid w:val="00AC4408"/>
    <w:rsid w:val="00AD7E59"/>
    <w:rsid w:val="00AF0282"/>
    <w:rsid w:val="00AF2592"/>
    <w:rsid w:val="00AF3779"/>
    <w:rsid w:val="00B02AA6"/>
    <w:rsid w:val="00B14103"/>
    <w:rsid w:val="00B17EE6"/>
    <w:rsid w:val="00B334AD"/>
    <w:rsid w:val="00B33D50"/>
    <w:rsid w:val="00B47A62"/>
    <w:rsid w:val="00B60744"/>
    <w:rsid w:val="00B845E1"/>
    <w:rsid w:val="00BA0FCC"/>
    <w:rsid w:val="00BA1C41"/>
    <w:rsid w:val="00BA79BA"/>
    <w:rsid w:val="00BB1561"/>
    <w:rsid w:val="00BC3634"/>
    <w:rsid w:val="00BC546B"/>
    <w:rsid w:val="00BD146D"/>
    <w:rsid w:val="00BD538D"/>
    <w:rsid w:val="00BD5B75"/>
    <w:rsid w:val="00C11051"/>
    <w:rsid w:val="00C11E5C"/>
    <w:rsid w:val="00C2689E"/>
    <w:rsid w:val="00C2711D"/>
    <w:rsid w:val="00C34605"/>
    <w:rsid w:val="00C36FA0"/>
    <w:rsid w:val="00C42888"/>
    <w:rsid w:val="00C42FE3"/>
    <w:rsid w:val="00C73444"/>
    <w:rsid w:val="00C85163"/>
    <w:rsid w:val="00CA0494"/>
    <w:rsid w:val="00CB6097"/>
    <w:rsid w:val="00CE04D2"/>
    <w:rsid w:val="00D01CC2"/>
    <w:rsid w:val="00D30B31"/>
    <w:rsid w:val="00D66D10"/>
    <w:rsid w:val="00D707C7"/>
    <w:rsid w:val="00D753AF"/>
    <w:rsid w:val="00D76A0C"/>
    <w:rsid w:val="00D87443"/>
    <w:rsid w:val="00D93F1E"/>
    <w:rsid w:val="00D970DB"/>
    <w:rsid w:val="00D97E0F"/>
    <w:rsid w:val="00DA0F6C"/>
    <w:rsid w:val="00DA6CBF"/>
    <w:rsid w:val="00DB4EBB"/>
    <w:rsid w:val="00DB5124"/>
    <w:rsid w:val="00DC01B3"/>
    <w:rsid w:val="00DC4D18"/>
    <w:rsid w:val="00DF78D7"/>
    <w:rsid w:val="00E015F3"/>
    <w:rsid w:val="00E1319D"/>
    <w:rsid w:val="00E14EEF"/>
    <w:rsid w:val="00E15811"/>
    <w:rsid w:val="00E421E1"/>
    <w:rsid w:val="00E44030"/>
    <w:rsid w:val="00E642E0"/>
    <w:rsid w:val="00E71EA4"/>
    <w:rsid w:val="00E732A6"/>
    <w:rsid w:val="00E7349A"/>
    <w:rsid w:val="00E7457C"/>
    <w:rsid w:val="00E93582"/>
    <w:rsid w:val="00EA03DB"/>
    <w:rsid w:val="00EA6AEF"/>
    <w:rsid w:val="00EB7562"/>
    <w:rsid w:val="00EC56C7"/>
    <w:rsid w:val="00EC6D93"/>
    <w:rsid w:val="00ED720D"/>
    <w:rsid w:val="00F00E0A"/>
    <w:rsid w:val="00F13682"/>
    <w:rsid w:val="00F211E1"/>
    <w:rsid w:val="00F21B53"/>
    <w:rsid w:val="00F301EB"/>
    <w:rsid w:val="00F3123F"/>
    <w:rsid w:val="00F31E8F"/>
    <w:rsid w:val="00F34E85"/>
    <w:rsid w:val="00F37989"/>
    <w:rsid w:val="00F57AB6"/>
    <w:rsid w:val="00F63F44"/>
    <w:rsid w:val="00F6763F"/>
    <w:rsid w:val="00F706D1"/>
    <w:rsid w:val="00F72290"/>
    <w:rsid w:val="00F81216"/>
    <w:rsid w:val="00F841EC"/>
    <w:rsid w:val="00F9596D"/>
    <w:rsid w:val="00FB2C67"/>
    <w:rsid w:val="00FC320E"/>
    <w:rsid w:val="00FC707B"/>
    <w:rsid w:val="00FD08D5"/>
    <w:rsid w:val="00FD235C"/>
    <w:rsid w:val="00FD38F0"/>
    <w:rsid w:val="00FD408E"/>
    <w:rsid w:val="043EDFEB"/>
    <w:rsid w:val="04E39583"/>
    <w:rsid w:val="0733E6A3"/>
    <w:rsid w:val="079EEAA8"/>
    <w:rsid w:val="0874012B"/>
    <w:rsid w:val="08CFB704"/>
    <w:rsid w:val="08DC2603"/>
    <w:rsid w:val="093ABB09"/>
    <w:rsid w:val="0A38F48B"/>
    <w:rsid w:val="0B1598A4"/>
    <w:rsid w:val="0E3A3827"/>
    <w:rsid w:val="0EC33C27"/>
    <w:rsid w:val="0F035B78"/>
    <w:rsid w:val="109F2BD9"/>
    <w:rsid w:val="123AFC3A"/>
    <w:rsid w:val="12603F07"/>
    <w:rsid w:val="12EBFFDC"/>
    <w:rsid w:val="14498E8F"/>
    <w:rsid w:val="16701D7A"/>
    <w:rsid w:val="18FB1331"/>
    <w:rsid w:val="1B438E9D"/>
    <w:rsid w:val="1D7FE488"/>
    <w:rsid w:val="1E584977"/>
    <w:rsid w:val="20031F08"/>
    <w:rsid w:val="247946CE"/>
    <w:rsid w:val="24C78AFB"/>
    <w:rsid w:val="2653B097"/>
    <w:rsid w:val="279BD6DA"/>
    <w:rsid w:val="28A4791E"/>
    <w:rsid w:val="2B1DA422"/>
    <w:rsid w:val="2D9A6742"/>
    <w:rsid w:val="2F08C906"/>
    <w:rsid w:val="2FC04E85"/>
    <w:rsid w:val="32B2E055"/>
    <w:rsid w:val="363FC90F"/>
    <w:rsid w:val="38D29C8C"/>
    <w:rsid w:val="38E1A3A3"/>
    <w:rsid w:val="442C4866"/>
    <w:rsid w:val="46835C53"/>
    <w:rsid w:val="4882A136"/>
    <w:rsid w:val="4A038E65"/>
    <w:rsid w:val="4D3F6845"/>
    <w:rsid w:val="505EEF31"/>
    <w:rsid w:val="509CCE76"/>
    <w:rsid w:val="582A3526"/>
    <w:rsid w:val="590CEF18"/>
    <w:rsid w:val="5935C94D"/>
    <w:rsid w:val="59472B11"/>
    <w:rsid w:val="5E929ECB"/>
    <w:rsid w:val="5EB6C254"/>
    <w:rsid w:val="5F7A385E"/>
    <w:rsid w:val="6199257B"/>
    <w:rsid w:val="68295BA2"/>
    <w:rsid w:val="68F86C93"/>
    <w:rsid w:val="6AFDC800"/>
    <w:rsid w:val="712B9FA9"/>
    <w:rsid w:val="7344A06D"/>
    <w:rsid w:val="73A29780"/>
    <w:rsid w:val="73E102AA"/>
    <w:rsid w:val="7555B6AC"/>
    <w:rsid w:val="7616C238"/>
    <w:rsid w:val="798CB17E"/>
    <w:rsid w:val="7BE01C7E"/>
    <w:rsid w:val="7CAA4892"/>
    <w:rsid w:val="7D74D91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3A68F"/>
  <w15:docId w15:val="{A077EFA9-C18C-4A7C-A399-49952D1B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NRC"/>
    <w:qFormat/>
    <w:rsid w:val="009235B0"/>
    <w:rPr>
      <w:color w:val="464645" w:themeColor="text1"/>
      <w:sz w:val="20"/>
      <w:lang w:val="en-GB"/>
    </w:rPr>
  </w:style>
  <w:style w:type="paragraph" w:styleId="Heading1">
    <w:name w:val="heading 1"/>
    <w:aliases w:val="Heading 1 NRC"/>
    <w:basedOn w:val="Normal"/>
    <w:next w:val="Normal"/>
    <w:link w:val="Heading1Char"/>
    <w:uiPriority w:val="9"/>
    <w:qFormat/>
    <w:rsid w:val="004A7E1D"/>
    <w:pPr>
      <w:keepNext/>
      <w:keepLines/>
      <w:numPr>
        <w:numId w:val="1"/>
      </w:numPr>
      <w:pBdr>
        <w:top w:val="single" w:sz="4" w:space="6" w:color="FF7602" w:themeColor="accent1"/>
      </w:pBdr>
      <w:spacing w:before="240" w:after="480"/>
      <w:outlineLvl w:val="0"/>
    </w:pPr>
    <w:rPr>
      <w:rFonts w:asciiTheme="majorHAnsi" w:eastAsiaTheme="majorEastAsia" w:hAnsiTheme="majorHAnsi" w:cstheme="majorBidi"/>
      <w:color w:val="FF7602" w:themeColor="accent1"/>
      <w:sz w:val="36"/>
      <w:szCs w:val="32"/>
    </w:rPr>
  </w:style>
  <w:style w:type="paragraph" w:styleId="Heading2">
    <w:name w:val="heading 2"/>
    <w:aliases w:val="Heading 2 NRC"/>
    <w:basedOn w:val="Normal"/>
    <w:next w:val="Normal"/>
    <w:link w:val="Heading2Char"/>
    <w:uiPriority w:val="9"/>
    <w:unhideWhenUsed/>
    <w:qFormat/>
    <w:rsid w:val="00D87443"/>
    <w:pPr>
      <w:keepNext/>
      <w:keepLines/>
      <w:numPr>
        <w:ilvl w:val="1"/>
        <w:numId w:val="1"/>
      </w:numPr>
      <w:spacing w:before="400" w:after="200"/>
      <w:ind w:left="737" w:hanging="737"/>
      <w:outlineLvl w:val="1"/>
    </w:pPr>
    <w:rPr>
      <w:rFonts w:asciiTheme="majorHAnsi" w:eastAsiaTheme="majorEastAsia" w:hAnsiTheme="majorHAnsi" w:cstheme="majorBidi"/>
      <w:color w:val="A6A6A5" w:themeColor="text2"/>
      <w:sz w:val="32"/>
      <w:szCs w:val="26"/>
    </w:rPr>
  </w:style>
  <w:style w:type="paragraph" w:styleId="Heading3">
    <w:name w:val="heading 3"/>
    <w:aliases w:val="Heading 3 NRC"/>
    <w:basedOn w:val="Normal"/>
    <w:next w:val="Normal"/>
    <w:link w:val="Heading3Char"/>
    <w:uiPriority w:val="9"/>
    <w:unhideWhenUsed/>
    <w:qFormat/>
    <w:rsid w:val="0062174F"/>
    <w:pPr>
      <w:keepNext/>
      <w:keepLines/>
      <w:numPr>
        <w:ilvl w:val="2"/>
        <w:numId w:val="1"/>
      </w:numPr>
      <w:spacing w:before="200" w:after="40"/>
      <w:outlineLvl w:val="2"/>
    </w:pPr>
    <w:rPr>
      <w:rFonts w:ascii="Franklin Gothic Medium" w:eastAsiaTheme="majorEastAsia" w:hAnsi="Franklin Gothic Medium" w:cstheme="majorBidi"/>
      <w:szCs w:val="24"/>
    </w:rPr>
  </w:style>
  <w:style w:type="paragraph" w:styleId="Heading4">
    <w:name w:val="heading 4"/>
    <w:aliases w:val="Heading 4 NRC"/>
    <w:basedOn w:val="Normal"/>
    <w:next w:val="Normal"/>
    <w:link w:val="Heading4Char"/>
    <w:uiPriority w:val="9"/>
    <w:unhideWhenUsed/>
    <w:qFormat/>
    <w:rsid w:val="0062174F"/>
    <w:pPr>
      <w:keepNext/>
      <w:keepLines/>
      <w:spacing w:before="200" w:after="40"/>
      <w:outlineLvl w:val="3"/>
    </w:pPr>
    <w:rPr>
      <w:rFonts w:ascii="Franklin Gothic Medium" w:eastAsiaTheme="majorEastAsia" w:hAnsi="Franklin Gothic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RC Char"/>
    <w:basedOn w:val="DefaultParagraphFont"/>
    <w:link w:val="Heading1"/>
    <w:uiPriority w:val="9"/>
    <w:rsid w:val="004A7E1D"/>
    <w:rPr>
      <w:rFonts w:asciiTheme="majorHAnsi" w:eastAsiaTheme="majorEastAsia" w:hAnsiTheme="majorHAnsi" w:cstheme="majorBidi"/>
      <w:color w:val="FF7602" w:themeColor="accent1"/>
      <w:sz w:val="36"/>
      <w:szCs w:val="32"/>
      <w:lang w:val="en-GB"/>
    </w:rPr>
  </w:style>
  <w:style w:type="character" w:customStyle="1" w:styleId="Heading2Char">
    <w:name w:val="Heading 2 Char"/>
    <w:aliases w:val="Heading 2 NRC Char"/>
    <w:basedOn w:val="DefaultParagraphFont"/>
    <w:link w:val="Heading2"/>
    <w:uiPriority w:val="9"/>
    <w:rsid w:val="00D87443"/>
    <w:rPr>
      <w:rFonts w:asciiTheme="majorHAnsi" w:eastAsiaTheme="majorEastAsia" w:hAnsiTheme="majorHAnsi" w:cstheme="majorBidi"/>
      <w:color w:val="A6A6A5" w:themeColor="text2"/>
      <w:sz w:val="32"/>
      <w:szCs w:val="26"/>
      <w:lang w:val="en-GB"/>
    </w:rPr>
  </w:style>
  <w:style w:type="character" w:customStyle="1" w:styleId="Heading3Char">
    <w:name w:val="Heading 3 Char"/>
    <w:aliases w:val="Heading 3 NRC Char"/>
    <w:basedOn w:val="DefaultParagraphFont"/>
    <w:link w:val="Heading3"/>
    <w:uiPriority w:val="9"/>
    <w:rsid w:val="0062174F"/>
    <w:rPr>
      <w:rFonts w:ascii="Franklin Gothic Medium" w:eastAsiaTheme="majorEastAsia" w:hAnsi="Franklin Gothic Medium" w:cstheme="majorBidi"/>
      <w:color w:val="464645" w:themeColor="text1"/>
      <w:sz w:val="20"/>
      <w:szCs w:val="24"/>
      <w:lang w:val="en-GB"/>
    </w:rPr>
  </w:style>
  <w:style w:type="character" w:customStyle="1" w:styleId="Heading4Char">
    <w:name w:val="Heading 4 Char"/>
    <w:aliases w:val="Heading 4 NRC Char"/>
    <w:basedOn w:val="DefaultParagraphFont"/>
    <w:link w:val="Heading4"/>
    <w:uiPriority w:val="9"/>
    <w:rsid w:val="0062174F"/>
    <w:rPr>
      <w:rFonts w:ascii="Franklin Gothic Medium" w:eastAsiaTheme="majorEastAsia" w:hAnsi="Franklin Gothic Medium" w:cstheme="majorBidi"/>
      <w:iCs/>
      <w:color w:val="464645" w:themeColor="text1"/>
      <w:sz w:val="20"/>
      <w:lang w:val="en-GB"/>
    </w:rPr>
  </w:style>
  <w:style w:type="paragraph" w:customStyle="1" w:styleId="IngressNRC">
    <w:name w:val="Ingress NRC"/>
    <w:basedOn w:val="Normal"/>
    <w:qFormat/>
    <w:rsid w:val="007B7F17"/>
    <w:pPr>
      <w:spacing w:after="960"/>
    </w:pPr>
    <w:rPr>
      <w:sz w:val="24"/>
    </w:rPr>
  </w:style>
  <w:style w:type="paragraph" w:styleId="ListBullet">
    <w:name w:val="List Bullet"/>
    <w:aliases w:val="Bullet list NRC"/>
    <w:basedOn w:val="Normal"/>
    <w:uiPriority w:val="99"/>
    <w:qFormat/>
    <w:rsid w:val="00A90369"/>
    <w:pPr>
      <w:numPr>
        <w:numId w:val="3"/>
      </w:numPr>
      <w:spacing w:after="80"/>
      <w:ind w:left="340" w:hanging="340"/>
    </w:pPr>
  </w:style>
  <w:style w:type="paragraph" w:styleId="ListParagraph">
    <w:name w:val="List Paragraph"/>
    <w:aliases w:val="List NRC"/>
    <w:basedOn w:val="Normal"/>
    <w:uiPriority w:val="34"/>
    <w:qFormat/>
    <w:rsid w:val="00912719"/>
    <w:pPr>
      <w:numPr>
        <w:numId w:val="4"/>
      </w:numPr>
      <w:spacing w:after="80"/>
    </w:pPr>
  </w:style>
  <w:style w:type="paragraph" w:styleId="Quote">
    <w:name w:val="Quote"/>
    <w:aliases w:val="Quote NRC"/>
    <w:basedOn w:val="Normal"/>
    <w:next w:val="Normal"/>
    <w:link w:val="QuoteChar"/>
    <w:uiPriority w:val="29"/>
    <w:qFormat/>
    <w:rsid w:val="00912719"/>
    <w:pPr>
      <w:spacing w:before="240" w:after="240"/>
    </w:pPr>
    <w:rPr>
      <w:rFonts w:ascii="Garamond" w:hAnsi="Garamond"/>
      <w:i/>
      <w:iCs/>
      <w:sz w:val="32"/>
    </w:rPr>
  </w:style>
  <w:style w:type="character" w:customStyle="1" w:styleId="QuoteChar">
    <w:name w:val="Quote Char"/>
    <w:aliases w:val="Quote NRC Char"/>
    <w:basedOn w:val="DefaultParagraphFont"/>
    <w:link w:val="Quote"/>
    <w:uiPriority w:val="29"/>
    <w:rsid w:val="00912719"/>
    <w:rPr>
      <w:rFonts w:ascii="Garamond" w:hAnsi="Garamond"/>
      <w:i/>
      <w:iCs/>
      <w:color w:val="464645" w:themeColor="text1"/>
      <w:sz w:val="32"/>
      <w:lang w:val="en-GB"/>
    </w:rPr>
  </w:style>
  <w:style w:type="paragraph" w:styleId="Header">
    <w:name w:val="header"/>
    <w:basedOn w:val="Normal"/>
    <w:link w:val="HeaderChar"/>
    <w:uiPriority w:val="99"/>
    <w:semiHidden/>
    <w:rsid w:val="006217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75E"/>
    <w:rPr>
      <w:color w:val="464645" w:themeColor="text1"/>
      <w:sz w:val="20"/>
      <w:lang w:val="en-GB"/>
    </w:rPr>
  </w:style>
  <w:style w:type="paragraph" w:styleId="Footer">
    <w:name w:val="footer"/>
    <w:basedOn w:val="Normal"/>
    <w:link w:val="FooterChar"/>
    <w:uiPriority w:val="99"/>
    <w:semiHidden/>
    <w:rsid w:val="009F049D"/>
    <w:pPr>
      <w:tabs>
        <w:tab w:val="right" w:pos="3827"/>
        <w:tab w:val="center" w:pos="4491"/>
        <w:tab w:val="left" w:pos="5160"/>
      </w:tabs>
      <w:spacing w:after="0" w:line="240" w:lineRule="auto"/>
      <w:jc w:val="center"/>
    </w:pPr>
    <w:rPr>
      <w:caps/>
      <w:sz w:val="18"/>
    </w:rPr>
  </w:style>
  <w:style w:type="character" w:customStyle="1" w:styleId="FooterChar">
    <w:name w:val="Footer Char"/>
    <w:basedOn w:val="DefaultParagraphFont"/>
    <w:link w:val="Footer"/>
    <w:uiPriority w:val="99"/>
    <w:semiHidden/>
    <w:rsid w:val="003F575E"/>
    <w:rPr>
      <w:caps/>
      <w:color w:val="464645" w:themeColor="text1"/>
      <w:sz w:val="18"/>
      <w:lang w:val="en-GB"/>
    </w:rPr>
  </w:style>
  <w:style w:type="table" w:styleId="TableGrid">
    <w:name w:val="Table Grid"/>
    <w:basedOn w:val="TableNormal"/>
    <w:uiPriority w:val="59"/>
    <w:rsid w:val="0091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CTabelll">
    <w:name w:val="NRC Tabelll"/>
    <w:basedOn w:val="TableNormal"/>
    <w:uiPriority w:val="99"/>
    <w:rsid w:val="003162AD"/>
    <w:pPr>
      <w:spacing w:after="0" w:line="240" w:lineRule="auto"/>
      <w:jc w:val="center"/>
    </w:pPr>
    <w:rPr>
      <w:sz w:val="18"/>
    </w:rPr>
    <w:tblPr>
      <w:tblStyleRowBandSize w:val="1"/>
      <w:tblBorders>
        <w:top w:val="single" w:sz="2" w:space="0" w:color="464645" w:themeColor="text1"/>
        <w:bottom w:val="single" w:sz="2" w:space="0" w:color="464645" w:themeColor="text1"/>
      </w:tblBorders>
      <w:tblCellMar>
        <w:top w:w="57" w:type="dxa"/>
        <w:left w:w="0" w:type="dxa"/>
        <w:bottom w:w="57" w:type="dxa"/>
        <w:right w:w="57" w:type="dxa"/>
      </w:tblCellMar>
    </w:tblPr>
    <w:tcPr>
      <w:vAlign w:val="center"/>
    </w:tcPr>
    <w:tblStylePr w:type="firstRow">
      <w:rPr>
        <w:rFonts w:ascii="Franklin Gothic Medium" w:hAnsi="Franklin Gothic Medium"/>
        <w:sz w:val="18"/>
      </w:rPr>
      <w:tblPr/>
      <w:tcPr>
        <w:tcBorders>
          <w:top w:val="nil"/>
          <w:left w:val="nil"/>
          <w:bottom w:val="single" w:sz="4" w:space="0" w:color="464645" w:themeColor="text1"/>
          <w:right w:val="nil"/>
          <w:insideH w:val="nil"/>
          <w:insideV w:val="nil"/>
          <w:tl2br w:val="nil"/>
          <w:tr2bl w:val="nil"/>
        </w:tcBorders>
      </w:tcPr>
    </w:tblStylePr>
    <w:tblStylePr w:type="lastRow">
      <w:pPr>
        <w:jc w:val="left"/>
      </w:pPr>
      <w:rPr>
        <w:rFonts w:asciiTheme="minorHAnsi" w:hAnsiTheme="minorHAnsi"/>
        <w:sz w:val="16"/>
      </w:rPr>
      <w:tblPr/>
      <w:tcPr>
        <w:tcBorders>
          <w:top w:val="single" w:sz="4" w:space="0" w:color="464645" w:themeColor="text1"/>
          <w:left w:val="nil"/>
          <w:bottom w:val="nil"/>
          <w:right w:val="nil"/>
          <w:insideH w:val="nil"/>
          <w:insideV w:val="nil"/>
          <w:tl2br w:val="nil"/>
          <w:tr2bl w:val="nil"/>
        </w:tcBorders>
      </w:tcPr>
    </w:tblStylePr>
    <w:tblStylePr w:type="firstCol">
      <w:pPr>
        <w:jc w:val="left"/>
      </w:pPr>
      <w:rPr>
        <w:rFonts w:ascii="Franklin Gothic Medium" w:hAnsi="Franklin Gothic Medium"/>
        <w:sz w:val="18"/>
      </w:rPr>
    </w:tblStylePr>
    <w:tblStylePr w:type="band1Horz">
      <w:tblPr/>
      <w:tcPr>
        <w:tcBorders>
          <w:bottom w:val="single" w:sz="4" w:space="0" w:color="A6A6A5" w:themeColor="text2"/>
        </w:tcBorders>
      </w:tcPr>
    </w:tblStylePr>
    <w:tblStylePr w:type="band2Horz">
      <w:tblPr/>
      <w:tcPr>
        <w:tcBorders>
          <w:bottom w:val="single" w:sz="4" w:space="0" w:color="A6A6A5" w:themeColor="text2"/>
        </w:tcBorders>
      </w:tcPr>
    </w:tblStylePr>
  </w:style>
  <w:style w:type="paragraph" w:customStyle="1" w:styleId="TableheadingNRC">
    <w:name w:val="Tableheading NRC"/>
    <w:basedOn w:val="Heading4"/>
    <w:qFormat/>
    <w:rsid w:val="00A057B6"/>
    <w:rPr>
      <w:caps/>
    </w:rPr>
  </w:style>
  <w:style w:type="paragraph" w:styleId="Title">
    <w:name w:val="Title"/>
    <w:aliases w:val="Title NRC"/>
    <w:basedOn w:val="Normal"/>
    <w:link w:val="TitleChar"/>
    <w:uiPriority w:val="10"/>
    <w:qFormat/>
    <w:rsid w:val="00F211E1"/>
    <w:pPr>
      <w:spacing w:before="240" w:after="240" w:line="216" w:lineRule="auto"/>
      <w:ind w:left="227" w:right="227"/>
      <w:contextualSpacing/>
    </w:pPr>
    <w:rPr>
      <w:rFonts w:ascii="Franklin Gothic Medium" w:eastAsiaTheme="majorEastAsia" w:hAnsi="Franklin Gothic Medium" w:cstheme="majorBidi"/>
      <w:color w:val="FFFFFF" w:themeColor="background1"/>
      <w:kern w:val="28"/>
      <w:sz w:val="72"/>
      <w:szCs w:val="56"/>
    </w:rPr>
  </w:style>
  <w:style w:type="character" w:customStyle="1" w:styleId="TitleChar">
    <w:name w:val="Title Char"/>
    <w:aliases w:val="Title NRC Char"/>
    <w:basedOn w:val="DefaultParagraphFont"/>
    <w:link w:val="Title"/>
    <w:uiPriority w:val="10"/>
    <w:rsid w:val="00F211E1"/>
    <w:rPr>
      <w:rFonts w:ascii="Franklin Gothic Medium" w:eastAsiaTheme="majorEastAsia" w:hAnsi="Franklin Gothic Medium" w:cstheme="majorBidi"/>
      <w:color w:val="FFFFFF" w:themeColor="background1"/>
      <w:kern w:val="28"/>
      <w:sz w:val="72"/>
      <w:szCs w:val="56"/>
      <w:lang w:val="en-GB"/>
    </w:rPr>
  </w:style>
  <w:style w:type="paragraph" w:styleId="Subtitle">
    <w:name w:val="Subtitle"/>
    <w:aliases w:val="Subtitle NRC"/>
    <w:basedOn w:val="Normal"/>
    <w:next w:val="Normal"/>
    <w:link w:val="SubtitleChar"/>
    <w:uiPriority w:val="11"/>
    <w:qFormat/>
    <w:rsid w:val="00F211E1"/>
    <w:pPr>
      <w:numPr>
        <w:ilvl w:val="1"/>
      </w:numPr>
      <w:spacing w:before="240" w:after="0"/>
    </w:pPr>
    <w:rPr>
      <w:rFonts w:eastAsiaTheme="minorEastAsia"/>
      <w:sz w:val="24"/>
    </w:rPr>
  </w:style>
  <w:style w:type="character" w:customStyle="1" w:styleId="SubtitleChar">
    <w:name w:val="Subtitle Char"/>
    <w:aliases w:val="Subtitle NRC Char"/>
    <w:basedOn w:val="DefaultParagraphFont"/>
    <w:link w:val="Subtitle"/>
    <w:uiPriority w:val="11"/>
    <w:rsid w:val="00F211E1"/>
    <w:rPr>
      <w:rFonts w:eastAsiaTheme="minorEastAsia"/>
      <w:color w:val="464645" w:themeColor="text1"/>
      <w:sz w:val="24"/>
      <w:lang w:val="en-GB"/>
    </w:rPr>
  </w:style>
  <w:style w:type="character" w:styleId="PlaceholderText">
    <w:name w:val="Placeholder Text"/>
    <w:basedOn w:val="DefaultParagraphFont"/>
    <w:uiPriority w:val="99"/>
    <w:semiHidden/>
    <w:rsid w:val="00091EBF"/>
    <w:rPr>
      <w:color w:val="808080"/>
    </w:rPr>
  </w:style>
  <w:style w:type="paragraph" w:customStyle="1" w:styleId="FrontpagetextNRC">
    <w:name w:val="Frontpagetext NRC"/>
    <w:basedOn w:val="Normal"/>
    <w:qFormat/>
    <w:rsid w:val="00F211E1"/>
    <w:pPr>
      <w:framePr w:hSpace="142" w:wrap="around" w:vAnchor="page" w:hAnchor="margin" w:y="10859"/>
      <w:spacing w:before="240" w:after="0" w:line="240" w:lineRule="auto"/>
      <w:suppressOverlap/>
    </w:pPr>
    <w:rPr>
      <w:rFonts w:ascii="Franklin Gothic Medium" w:hAnsi="Franklin Gothic Medium"/>
      <w:caps/>
      <w:color w:val="FF7602" w:themeColor="accent1"/>
      <w:sz w:val="18"/>
      <w:lang w:val="nb-NO"/>
    </w:rPr>
  </w:style>
  <w:style w:type="paragraph" w:styleId="TOC2">
    <w:name w:val="toc 2"/>
    <w:basedOn w:val="Normal"/>
    <w:next w:val="Normal"/>
    <w:autoRedefine/>
    <w:uiPriority w:val="39"/>
    <w:semiHidden/>
    <w:rsid w:val="00D87443"/>
    <w:pPr>
      <w:tabs>
        <w:tab w:val="right" w:pos="7926"/>
      </w:tabs>
      <w:spacing w:after="0"/>
      <w:ind w:left="924" w:hanging="567"/>
      <w:contextualSpacing/>
    </w:pPr>
  </w:style>
  <w:style w:type="paragraph" w:styleId="TOC1">
    <w:name w:val="toc 1"/>
    <w:basedOn w:val="Normal"/>
    <w:next w:val="Normal"/>
    <w:autoRedefine/>
    <w:uiPriority w:val="39"/>
    <w:semiHidden/>
    <w:rsid w:val="00D87443"/>
    <w:pPr>
      <w:tabs>
        <w:tab w:val="right" w:pos="7926"/>
      </w:tabs>
      <w:spacing w:before="160" w:after="80"/>
      <w:ind w:left="357" w:hanging="357"/>
    </w:pPr>
  </w:style>
  <w:style w:type="paragraph" w:styleId="TOC3">
    <w:name w:val="toc 3"/>
    <w:basedOn w:val="Normal"/>
    <w:next w:val="Normal"/>
    <w:autoRedefine/>
    <w:uiPriority w:val="39"/>
    <w:semiHidden/>
    <w:rsid w:val="00CB6097"/>
    <w:pPr>
      <w:tabs>
        <w:tab w:val="left" w:pos="1320"/>
        <w:tab w:val="right" w:pos="7926"/>
      </w:tabs>
      <w:spacing w:after="0"/>
      <w:ind w:left="1474" w:hanging="567"/>
      <w:contextualSpacing/>
    </w:pPr>
  </w:style>
  <w:style w:type="character" w:styleId="Hyperlink">
    <w:name w:val="Hyperlink"/>
    <w:basedOn w:val="DefaultParagraphFont"/>
    <w:uiPriority w:val="99"/>
    <w:semiHidden/>
    <w:rsid w:val="004B5714"/>
    <w:rPr>
      <w:color w:val="0563C1" w:themeColor="hyperlink"/>
      <w:u w:val="single"/>
    </w:rPr>
  </w:style>
  <w:style w:type="table" w:customStyle="1" w:styleId="ForsideTabell">
    <w:name w:val="ForsideTabell"/>
    <w:basedOn w:val="TableNormal"/>
    <w:uiPriority w:val="99"/>
    <w:rsid w:val="00E14EEF"/>
    <w:pPr>
      <w:spacing w:after="0" w:line="240" w:lineRule="auto"/>
    </w:pPr>
    <w:tblPr>
      <w:tblCellMar>
        <w:left w:w="0" w:type="dxa"/>
        <w:right w:w="0" w:type="dxa"/>
      </w:tblCellMar>
    </w:tblPr>
  </w:style>
  <w:style w:type="paragraph" w:styleId="FootnoteText">
    <w:name w:val="footnote text"/>
    <w:aliases w:val="Footnote text NRC"/>
    <w:basedOn w:val="Normal"/>
    <w:link w:val="FootnoteTextChar"/>
    <w:uiPriority w:val="99"/>
    <w:qFormat/>
    <w:rsid w:val="00FC707B"/>
    <w:pPr>
      <w:spacing w:after="0" w:line="240" w:lineRule="auto"/>
    </w:pPr>
    <w:rPr>
      <w:sz w:val="16"/>
      <w:szCs w:val="20"/>
    </w:rPr>
  </w:style>
  <w:style w:type="character" w:customStyle="1" w:styleId="FootnoteTextChar">
    <w:name w:val="Footnote Text Char"/>
    <w:aliases w:val="Footnote text NRC Char"/>
    <w:basedOn w:val="DefaultParagraphFont"/>
    <w:link w:val="FootnoteText"/>
    <w:uiPriority w:val="99"/>
    <w:rsid w:val="00FC707B"/>
    <w:rPr>
      <w:color w:val="464645" w:themeColor="text1"/>
      <w:sz w:val="16"/>
      <w:szCs w:val="20"/>
      <w:lang w:val="en-GB"/>
    </w:rPr>
  </w:style>
  <w:style w:type="character" w:styleId="FootnoteReference">
    <w:name w:val="footnote reference"/>
    <w:basedOn w:val="DefaultParagraphFont"/>
    <w:uiPriority w:val="99"/>
    <w:semiHidden/>
    <w:unhideWhenUsed/>
    <w:rsid w:val="00FC707B"/>
    <w:rPr>
      <w:vertAlign w:val="superscript"/>
    </w:rPr>
  </w:style>
  <w:style w:type="table" w:customStyle="1" w:styleId="Forsidestil">
    <w:name w:val="Forsidestil"/>
    <w:basedOn w:val="TableNormal"/>
    <w:uiPriority w:val="99"/>
    <w:rsid w:val="003637EE"/>
    <w:pPr>
      <w:spacing w:after="0" w:line="240" w:lineRule="auto"/>
    </w:pPr>
    <w:tblPr>
      <w:tblCellMar>
        <w:left w:w="0" w:type="dxa"/>
        <w:right w:w="0" w:type="dxa"/>
      </w:tblCellMar>
    </w:tblPr>
    <w:tcPr>
      <w:vAlign w:val="bottom"/>
    </w:tcPr>
    <w:tblStylePr w:type="firstRow">
      <w:tblPr/>
      <w:tcPr>
        <w:shd w:val="clear" w:color="auto" w:fill="464645" w:themeFill="text1"/>
      </w:tcPr>
    </w:tblStylePr>
  </w:style>
  <w:style w:type="paragraph" w:styleId="Caption">
    <w:name w:val="caption"/>
    <w:aliases w:val="Caption NRC"/>
    <w:basedOn w:val="Normal"/>
    <w:next w:val="Normal"/>
    <w:uiPriority w:val="35"/>
    <w:qFormat/>
    <w:rsid w:val="001B6690"/>
    <w:pPr>
      <w:spacing w:after="200" w:line="240" w:lineRule="auto"/>
    </w:pPr>
    <w:rPr>
      <w:i/>
      <w:iCs/>
      <w:sz w:val="16"/>
      <w:szCs w:val="18"/>
    </w:rPr>
  </w:style>
  <w:style w:type="character" w:styleId="Strong">
    <w:name w:val="Strong"/>
    <w:aliases w:val="Strong NRC"/>
    <w:basedOn w:val="DefaultParagraphFont"/>
    <w:uiPriority w:val="22"/>
    <w:qFormat/>
    <w:rsid w:val="00B14103"/>
    <w:rPr>
      <w:rFonts w:ascii="Franklin Gothic Medium" w:hAnsi="Franklin Gothic Medium"/>
      <w:b w:val="0"/>
      <w:bCs/>
    </w:rPr>
  </w:style>
  <w:style w:type="paragraph" w:customStyle="1" w:styleId="Tableheading">
    <w:name w:val="Tableheading"/>
    <w:basedOn w:val="Heading4"/>
    <w:semiHidden/>
    <w:rsid w:val="007F0D7F"/>
    <w:rPr>
      <w:caps/>
    </w:rPr>
  </w:style>
  <w:style w:type="paragraph" w:customStyle="1" w:styleId="AppendixTitleNRC">
    <w:name w:val="Appendix Title NRC"/>
    <w:basedOn w:val="Normal"/>
    <w:next w:val="Normal"/>
    <w:qFormat/>
    <w:rsid w:val="0039048B"/>
    <w:pPr>
      <w:pageBreakBefore/>
      <w:framePr w:w="8505" w:vSpace="170" w:wrap="around" w:vAnchor="page" w:hAnchor="text" w:y="1135"/>
      <w:numPr>
        <w:numId w:val="6"/>
      </w:numPr>
      <w:pBdr>
        <w:bottom w:val="single" w:sz="4" w:space="6" w:color="464645" w:themeColor="text1"/>
      </w:pBdr>
      <w:spacing w:after="0"/>
      <w:ind w:left="1985" w:hanging="1985"/>
    </w:pPr>
    <w:rPr>
      <w:sz w:val="32"/>
    </w:rPr>
  </w:style>
  <w:style w:type="paragraph" w:styleId="BalloonText">
    <w:name w:val="Balloon Text"/>
    <w:basedOn w:val="Normal"/>
    <w:link w:val="BalloonTextChar"/>
    <w:uiPriority w:val="99"/>
    <w:semiHidden/>
    <w:unhideWhenUsed/>
    <w:rsid w:val="0013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3C"/>
    <w:rPr>
      <w:rFonts w:ascii="Tahoma" w:hAnsi="Tahoma" w:cs="Tahoma"/>
      <w:color w:val="464645" w:themeColor="text1"/>
      <w:sz w:val="16"/>
      <w:szCs w:val="16"/>
      <w:lang w:val="en-GB"/>
    </w:rPr>
  </w:style>
  <w:style w:type="paragraph" w:customStyle="1" w:styleId="NoSpacing1">
    <w:name w:val="No Spacing1"/>
    <w:link w:val="NoSpacingChar"/>
    <w:uiPriority w:val="99"/>
    <w:qFormat/>
    <w:rsid w:val="00D76A0C"/>
    <w:pPr>
      <w:spacing w:after="0" w:line="240" w:lineRule="auto"/>
    </w:pPr>
    <w:rPr>
      <w:rFonts w:ascii="Calibri" w:eastAsia="Times New Roman" w:hAnsi="Calibri" w:cs="Times New Roman"/>
      <w:lang w:val="en-US" w:eastAsia="nb-NO"/>
    </w:rPr>
  </w:style>
  <w:style w:type="character" w:customStyle="1" w:styleId="NoSpacingChar">
    <w:name w:val="No Spacing Char"/>
    <w:link w:val="NoSpacing1"/>
    <w:uiPriority w:val="99"/>
    <w:locked/>
    <w:rsid w:val="00D76A0C"/>
    <w:rPr>
      <w:rFonts w:ascii="Calibri" w:eastAsia="Times New Roman" w:hAnsi="Calibri" w:cs="Times New Roman"/>
      <w:lang w:val="en-US" w:eastAsia="nb-NO"/>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color w:val="464645" w:themeColor="text1"/>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3653"/>
    <w:rPr>
      <w:b/>
      <w:bCs/>
    </w:rPr>
  </w:style>
  <w:style w:type="character" w:customStyle="1" w:styleId="CommentSubjectChar">
    <w:name w:val="Comment Subject Char"/>
    <w:basedOn w:val="CommentTextChar"/>
    <w:link w:val="CommentSubject"/>
    <w:uiPriority w:val="99"/>
    <w:semiHidden/>
    <w:rsid w:val="00253653"/>
    <w:rPr>
      <w:b/>
      <w:bCs/>
      <w:color w:val="464645" w:themeColor="text1"/>
      <w:sz w:val="20"/>
      <w:szCs w:val="20"/>
      <w:lang w:val="en-GB"/>
    </w:rPr>
  </w:style>
  <w:style w:type="paragraph" w:styleId="Revision">
    <w:name w:val="Revision"/>
    <w:hidden/>
    <w:uiPriority w:val="99"/>
    <w:semiHidden/>
    <w:rsid w:val="00FD08D5"/>
    <w:pPr>
      <w:spacing w:after="0" w:line="240" w:lineRule="auto"/>
    </w:pPr>
    <w:rPr>
      <w:color w:val="464645"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2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l.logistics@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k.Ngoga@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onitoring%20and%20Evaluation\Evaluation%20Management\Evaluation%20Handbook\TOR%20Template%20January%2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F0AC3DF1F0435E8DCB57805ADAEF97"/>
        <w:category>
          <w:name w:val="General"/>
          <w:gallery w:val="placeholder"/>
        </w:category>
        <w:types>
          <w:type w:val="bbPlcHdr"/>
        </w:types>
        <w:behaviors>
          <w:behavior w:val="content"/>
        </w:behaviors>
        <w:guid w:val="{2C9092D1-FC05-4D07-94C9-1A42474D5E35}"/>
      </w:docPartPr>
      <w:docPartBody>
        <w:p w:rsidR="00A45680" w:rsidRDefault="00A45680">
          <w:pPr>
            <w:pStyle w:val="C3F0AC3DF1F0435E8DCB57805ADAEF97"/>
          </w:pPr>
          <w:r>
            <w:rPr>
              <w:color w:val="000000" w:themeColor="text1"/>
            </w:rPr>
            <w:t>[</w:t>
          </w:r>
          <w:r w:rsidRPr="003A2EAE">
            <w:rPr>
              <w:color w:val="000000" w:themeColor="text1"/>
            </w:rPr>
            <w:t>Heading</w:t>
          </w:r>
          <w:r>
            <w:rPr>
              <w:color w:val="000000" w:themeColor="text1"/>
            </w:rPr>
            <w:t>]</w:t>
          </w:r>
        </w:p>
      </w:docPartBody>
    </w:docPart>
    <w:docPart>
      <w:docPartPr>
        <w:name w:val="957D97281F8C45DC87EA409313CB83D1"/>
        <w:category>
          <w:name w:val="General"/>
          <w:gallery w:val="placeholder"/>
        </w:category>
        <w:types>
          <w:type w:val="bbPlcHdr"/>
        </w:types>
        <w:behaviors>
          <w:behavior w:val="content"/>
        </w:behaviors>
        <w:guid w:val="{26CDE80B-F2C0-4A19-8AC0-759DC36D472F}"/>
      </w:docPartPr>
      <w:docPartBody>
        <w:p w:rsidR="00A45680" w:rsidRDefault="00A45680">
          <w:pPr>
            <w:pStyle w:val="957D97281F8C45DC87EA409313CB83D1"/>
          </w:pPr>
          <w:r>
            <w:rPr>
              <w:lang w:val="nb-NO"/>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80"/>
    <w:rsid w:val="000C69F3"/>
    <w:rsid w:val="000E618C"/>
    <w:rsid w:val="00530133"/>
    <w:rsid w:val="009F69A6"/>
    <w:rsid w:val="00A45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0AC3DF1F0435E8DCB57805ADAEF97">
    <w:name w:val="C3F0AC3DF1F0435E8DCB57805ADAEF97"/>
  </w:style>
  <w:style w:type="paragraph" w:customStyle="1" w:styleId="0BF4B2937D264FB5BAC426958857FA8C">
    <w:name w:val="0BF4B2937D264FB5BAC426958857FA8C"/>
  </w:style>
  <w:style w:type="character" w:styleId="PlaceholderText">
    <w:name w:val="Placeholder Text"/>
    <w:basedOn w:val="DefaultParagraphFont"/>
    <w:uiPriority w:val="99"/>
    <w:semiHidden/>
    <w:rPr>
      <w:color w:val="808080"/>
    </w:rPr>
  </w:style>
  <w:style w:type="paragraph" w:customStyle="1" w:styleId="9A4D9FE6019D4829AD46EF2501D7411B">
    <w:name w:val="9A4D9FE6019D4829AD46EF2501D7411B"/>
  </w:style>
  <w:style w:type="paragraph" w:customStyle="1" w:styleId="523620BDA8B8499F97F845D7C4B14D7C">
    <w:name w:val="523620BDA8B8499F97F845D7C4B14D7C"/>
  </w:style>
  <w:style w:type="paragraph" w:customStyle="1" w:styleId="8FAA732414DF4EFF89D4088CE3733C88">
    <w:name w:val="8FAA732414DF4EFF89D4088CE3733C88"/>
  </w:style>
  <w:style w:type="paragraph" w:customStyle="1" w:styleId="957D97281F8C45DC87EA409313CB83D1">
    <w:name w:val="957D97281F8C45DC87EA409313CB8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NRC">
      <a:dk1>
        <a:srgbClr val="464645"/>
      </a:dk1>
      <a:lt1>
        <a:sysClr val="window" lastClr="FFFFFF"/>
      </a:lt1>
      <a:dk2>
        <a:srgbClr val="A6A6A5"/>
      </a:dk2>
      <a:lt2>
        <a:srgbClr val="D3D3D2"/>
      </a:lt2>
      <a:accent1>
        <a:srgbClr val="FF7602"/>
      </a:accent1>
      <a:accent2>
        <a:srgbClr val="72C7E7"/>
      </a:accent2>
      <a:accent3>
        <a:srgbClr val="0094B3"/>
      </a:accent3>
      <a:accent4>
        <a:srgbClr val="CE5C43"/>
      </a:accent4>
      <a:accent5>
        <a:srgbClr val="FDC82F"/>
      </a:accent5>
      <a:accent6>
        <a:srgbClr val="F3EC7A"/>
      </a:accent6>
      <a:hlink>
        <a:srgbClr val="0563C1"/>
      </a:hlink>
      <a:folHlink>
        <a:srgbClr val="954F72"/>
      </a:folHlink>
    </a:clrScheme>
    <a:fontScheme name="NRC">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root>
</file>

<file path=customXml/item3.xml><?xml version="1.0" encoding="utf-8"?>
<p:properties xmlns:p="http://schemas.microsoft.com/office/2006/metadata/properties" xmlns:xsi="http://www.w3.org/2001/XMLSchema-instance" xmlns:pc="http://schemas.microsoft.com/office/infopath/2007/PartnerControls">
  <documentManagement>
    <TaxCatchAll xmlns="fcaf67fa-635f-4cfc-9306-08e998a93aea" xsi:nil="true"/>
    <lcf76f155ced4ddcb4097134ff3c332f xmlns="25fdd047-c7f0-4393-b8c2-f101909215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CD5CDE804D214EB4E51EC309019E17" ma:contentTypeVersion="15" ma:contentTypeDescription="Create a new document." ma:contentTypeScope="" ma:versionID="ae80a2d9425e16d90cae79cb44b4194d">
  <xsd:schema xmlns:xsd="http://www.w3.org/2001/XMLSchema" xmlns:xs="http://www.w3.org/2001/XMLSchema" xmlns:p="http://schemas.microsoft.com/office/2006/metadata/properties" xmlns:ns2="25fdd047-c7f0-4393-b8c2-f10190921539" xmlns:ns3="fcaf67fa-635f-4cfc-9306-08e998a93aea" targetNamespace="http://schemas.microsoft.com/office/2006/metadata/properties" ma:root="true" ma:fieldsID="73fb9ba85748c1cfaa554d1e3babff9e" ns2:_="" ns3:_="">
    <xsd:import namespace="25fdd047-c7f0-4393-b8c2-f10190921539"/>
    <xsd:import namespace="fcaf67fa-635f-4cfc-9306-08e998a93a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d047-c7f0-4393-b8c2-f10190921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af67fa-635f-4cfc-9306-08e998a93a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bccd10-8526-48fe-9990-720b6c726e5c}" ma:internalName="TaxCatchAll" ma:showField="CatchAllData" ma:web="fcaf67fa-635f-4cfc-9306-08e998a93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207C-11BF-4E95-9BE0-32BB9F9F5350}">
  <ds:schemaRefs>
    <ds:schemaRef ds:uri="http://schemas.microsoft.com/sharepoint/v3/contenttype/forms"/>
  </ds:schemaRefs>
</ds:datastoreItem>
</file>

<file path=customXml/itemProps2.xml><?xml version="1.0" encoding="utf-8"?>
<ds:datastoreItem xmlns:ds="http://schemas.openxmlformats.org/officeDocument/2006/customXml" ds:itemID="{C6B7BBFD-CE12-4C30-9DA7-35A00032CCA7}">
  <ds:schemaRefs/>
</ds:datastoreItem>
</file>

<file path=customXml/itemProps3.xml><?xml version="1.0" encoding="utf-8"?>
<ds:datastoreItem xmlns:ds="http://schemas.openxmlformats.org/officeDocument/2006/customXml" ds:itemID="{E35D37E0-01ED-4956-89D4-C43780C241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7B4609-8014-41C2-AFDD-C2784EAA8206}"/>
</file>

<file path=customXml/itemProps5.xml><?xml version="1.0" encoding="utf-8"?>
<ds:datastoreItem xmlns:ds="http://schemas.openxmlformats.org/officeDocument/2006/customXml" ds:itemID="{14E8E931-3A2E-4DDC-A5AF-7A90505D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Template January 2016</Template>
  <TotalTime>1</TotalTime>
  <Pages>11</Pages>
  <Words>2936</Words>
  <Characters>16148</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NRC</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Bradley</dc:creator>
  <cp:keywords/>
  <dc:description/>
  <cp:lastModifiedBy>Mamadou Guediouma Samake</cp:lastModifiedBy>
  <cp:revision>2</cp:revision>
  <dcterms:created xsi:type="dcterms:W3CDTF">2022-06-29T13:34:00Z</dcterms:created>
  <dcterms:modified xsi:type="dcterms:W3CDTF">2022-06-29T13:34:00Z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0x0101002D5EC8C95348D34E851BD0776F4BC184</vt:lpwstr>
  </property>
  <property fmtid="{D5CDD505-2E9C-101B-9397-08002B2CF9AE}" pid="4" name="MediaServiceImageTags">
    <vt:lpwstr/>
  </property>
</Properties>
</file>